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714" w:type="pct"/>
        <w:tblInd w:w="-720" w:type="dxa"/>
        <w:tblCellMar>
          <w:left w:w="0" w:type="dxa"/>
          <w:right w:w="0" w:type="dxa"/>
        </w:tblCellMar>
        <w:tblLook w:val="04A0" w:firstRow="1" w:lastRow="0" w:firstColumn="1" w:lastColumn="0" w:noHBand="0" w:noVBand="1"/>
      </w:tblPr>
      <w:tblGrid>
        <w:gridCol w:w="4359"/>
        <w:gridCol w:w="2559"/>
        <w:gridCol w:w="3779"/>
      </w:tblGrid>
      <w:tr w:rsidR="00E21EA0" w:rsidRPr="0009687E" w14:paraId="6028BA22" w14:textId="77777777" w:rsidTr="00F640FD">
        <w:trPr>
          <w:trHeight w:val="720"/>
        </w:trPr>
        <w:tc>
          <w:tcPr>
            <w:tcW w:w="11520" w:type="dxa"/>
            <w:gridSpan w:val="3"/>
            <w:tcBorders>
              <w:top w:val="nil"/>
              <w:left w:val="nil"/>
              <w:bottom w:val="nil"/>
              <w:right w:val="nil"/>
            </w:tcBorders>
            <w:shd w:val="clear" w:color="auto" w:fill="auto"/>
            <w:vAlign w:val="center"/>
          </w:tcPr>
          <w:p w14:paraId="433EED77" w14:textId="77777777" w:rsidR="009F4B88" w:rsidRPr="0009687E" w:rsidRDefault="009F4B88" w:rsidP="00625B23">
            <w:pPr>
              <w:spacing w:before="240"/>
              <w:rPr>
                <w:rFonts w:asciiTheme="majorHAnsi" w:eastAsia="Times New Roman" w:hAnsiTheme="majorHAnsi" w:cs="Times New Roman"/>
                <w:bCs/>
                <w:color w:val="000000" w:themeColor="text1"/>
                <w:sz w:val="24"/>
                <w:szCs w:val="24"/>
              </w:rPr>
            </w:pPr>
          </w:p>
        </w:tc>
      </w:tr>
      <w:tr w:rsidR="00E21EA0" w:rsidRPr="0009687E" w14:paraId="71D3FD57" w14:textId="77777777" w:rsidTr="009F4B88">
        <w:trPr>
          <w:trHeight w:val="2016"/>
        </w:trPr>
        <w:tc>
          <w:tcPr>
            <w:tcW w:w="11520" w:type="dxa"/>
            <w:gridSpan w:val="3"/>
            <w:tcBorders>
              <w:top w:val="nil"/>
              <w:left w:val="nil"/>
              <w:bottom w:val="nil"/>
              <w:right w:val="nil"/>
            </w:tcBorders>
            <w:shd w:val="clear" w:color="auto" w:fill="ED7D31"/>
            <w:vAlign w:val="center"/>
          </w:tcPr>
          <w:sdt>
            <w:sdtPr>
              <w:rPr>
                <w:rFonts w:asciiTheme="majorHAnsi" w:eastAsia="Times New Roman" w:hAnsiTheme="majorHAnsi" w:cs="Times New Roman"/>
                <w:b/>
                <w:color w:val="000000" w:themeColor="text1"/>
                <w:sz w:val="72"/>
                <w:szCs w:val="72"/>
              </w:rPr>
              <w:id w:val="1715236554"/>
              <w:placeholder>
                <w:docPart w:val="685027383EBD4B4EB9DF67EECBFB0058"/>
              </w:placeholder>
              <w15:appearance w15:val="hidden"/>
            </w:sdtPr>
            <w:sdtEndPr/>
            <w:sdtContent>
              <w:p w14:paraId="15798445" w14:textId="77777777" w:rsidR="009F4B88" w:rsidRPr="00A92297" w:rsidRDefault="009F4B88" w:rsidP="00625B23">
                <w:pPr>
                  <w:spacing w:before="240"/>
                  <w:jc w:val="center"/>
                  <w:rPr>
                    <w:rFonts w:asciiTheme="majorHAnsi" w:eastAsia="Times New Roman" w:hAnsiTheme="majorHAnsi" w:cs="Times New Roman"/>
                    <w:b/>
                    <w:color w:val="000000" w:themeColor="text1"/>
                    <w:sz w:val="72"/>
                    <w:szCs w:val="72"/>
                  </w:rPr>
                </w:pPr>
                <w:r w:rsidRPr="00A92297">
                  <w:rPr>
                    <w:rFonts w:asciiTheme="majorHAnsi" w:eastAsia="Times New Roman" w:hAnsiTheme="majorHAnsi" w:cs="Times New Roman"/>
                    <w:b/>
                    <w:color w:val="FFFFFF" w:themeColor="background1"/>
                    <w:sz w:val="72"/>
                    <w:szCs w:val="72"/>
                  </w:rPr>
                  <w:t>Professionals in Business Journal</w:t>
                </w:r>
              </w:p>
            </w:sdtContent>
          </w:sdt>
        </w:tc>
      </w:tr>
      <w:tr w:rsidR="00A07897" w:rsidRPr="0009687E" w14:paraId="6B334900" w14:textId="77777777" w:rsidTr="00F640FD">
        <w:trPr>
          <w:trHeight w:val="864"/>
        </w:trPr>
        <w:tc>
          <w:tcPr>
            <w:tcW w:w="4359" w:type="dxa"/>
            <w:tcBorders>
              <w:top w:val="nil"/>
              <w:left w:val="nil"/>
              <w:bottom w:val="nil"/>
              <w:right w:val="nil"/>
            </w:tcBorders>
            <w:vAlign w:val="center"/>
          </w:tcPr>
          <w:p w14:paraId="6CAAEE3C" w14:textId="61856F45" w:rsidR="009F4B88" w:rsidRPr="00975EAC" w:rsidRDefault="001D5681" w:rsidP="00625B23">
            <w:pPr>
              <w:spacing w:before="240"/>
              <w:rPr>
                <w:rFonts w:asciiTheme="majorHAnsi" w:eastAsia="Times New Roman" w:hAnsiTheme="majorHAnsi" w:cs="Times New Roman"/>
                <w:b/>
                <w:color w:val="000000" w:themeColor="text1"/>
                <w:sz w:val="24"/>
                <w:szCs w:val="24"/>
              </w:rPr>
            </w:pPr>
            <w:sdt>
              <w:sdtPr>
                <w:rPr>
                  <w:rFonts w:asciiTheme="majorHAnsi" w:eastAsia="Times New Roman" w:hAnsiTheme="majorHAnsi" w:cs="Times New Roman"/>
                  <w:b/>
                  <w:color w:val="000000" w:themeColor="text1"/>
                  <w:sz w:val="24"/>
                  <w:szCs w:val="24"/>
                </w:rPr>
                <w:id w:val="1551506948"/>
                <w:placeholder>
                  <w:docPart w:val="1C39D2FF667747AD80D6C7053CF475F2"/>
                </w:placeholder>
                <w15:appearance w15:val="hidden"/>
              </w:sdtPr>
              <w:sdtEndPr/>
              <w:sdtContent>
                <w:r w:rsidR="009F4B88" w:rsidRPr="00975EAC">
                  <w:rPr>
                    <w:rFonts w:asciiTheme="majorHAnsi" w:eastAsia="Times New Roman" w:hAnsiTheme="majorHAnsi" w:cs="Times New Roman"/>
                    <w:b/>
                    <w:color w:val="000000" w:themeColor="text1"/>
                    <w:sz w:val="24"/>
                    <w:szCs w:val="24"/>
                  </w:rPr>
                  <w:t xml:space="preserve">            </w:t>
                </w:r>
                <w:r w:rsidR="0083197E" w:rsidRPr="00975EAC">
                  <w:rPr>
                    <w:rFonts w:asciiTheme="majorHAnsi" w:eastAsia="Times New Roman" w:hAnsiTheme="majorHAnsi" w:cs="Times New Roman"/>
                    <w:b/>
                    <w:color w:val="000000" w:themeColor="text1"/>
                    <w:sz w:val="24"/>
                    <w:szCs w:val="24"/>
                  </w:rPr>
                  <w:t>Monday</w:t>
                </w:r>
              </w:sdtContent>
            </w:sdt>
          </w:p>
        </w:tc>
        <w:tc>
          <w:tcPr>
            <w:tcW w:w="2661" w:type="dxa"/>
            <w:tcBorders>
              <w:top w:val="nil"/>
              <w:left w:val="nil"/>
              <w:bottom w:val="nil"/>
              <w:right w:val="nil"/>
            </w:tcBorders>
            <w:vAlign w:val="center"/>
          </w:tcPr>
          <w:p w14:paraId="748268E8" w14:textId="6CE61F23" w:rsidR="009F4B88" w:rsidRPr="00975EAC" w:rsidRDefault="001D5681" w:rsidP="00625B23">
            <w:pPr>
              <w:spacing w:before="240"/>
              <w:rPr>
                <w:rFonts w:asciiTheme="majorHAnsi" w:eastAsia="Times New Roman" w:hAnsiTheme="majorHAnsi" w:cs="Times New Roman"/>
                <w:b/>
                <w:color w:val="000000" w:themeColor="text1"/>
                <w:sz w:val="24"/>
                <w:szCs w:val="24"/>
              </w:rPr>
            </w:pPr>
            <w:sdt>
              <w:sdtPr>
                <w:rPr>
                  <w:rFonts w:asciiTheme="majorHAnsi" w:eastAsia="Times New Roman" w:hAnsiTheme="majorHAnsi" w:cs="Times New Roman"/>
                  <w:b/>
                  <w:color w:val="000000" w:themeColor="text1"/>
                  <w:sz w:val="24"/>
                  <w:szCs w:val="24"/>
                </w:rPr>
                <w:id w:val="971181375"/>
                <w:placeholder>
                  <w:docPart w:val="D15AF6C6A5554923B5416A1B7C73295E"/>
                </w:placeholder>
                <w15:appearance w15:val="hidden"/>
              </w:sdtPr>
              <w:sdtEndPr/>
              <w:sdtContent>
                <w:r w:rsidR="0083197E" w:rsidRPr="00975EAC">
                  <w:rPr>
                    <w:rFonts w:asciiTheme="majorHAnsi" w:eastAsia="Times New Roman" w:hAnsiTheme="majorHAnsi" w:cs="Times New Roman"/>
                    <w:b/>
                    <w:color w:val="000000" w:themeColor="text1"/>
                    <w:sz w:val="24"/>
                    <w:szCs w:val="24"/>
                  </w:rPr>
                  <w:t>June 3, 2024</w:t>
                </w:r>
              </w:sdtContent>
            </w:sdt>
          </w:p>
        </w:tc>
        <w:tc>
          <w:tcPr>
            <w:tcW w:w="4500" w:type="dxa"/>
            <w:tcBorders>
              <w:top w:val="nil"/>
              <w:left w:val="nil"/>
              <w:bottom w:val="nil"/>
              <w:right w:val="nil"/>
            </w:tcBorders>
            <w:vAlign w:val="center"/>
          </w:tcPr>
          <w:p w14:paraId="49FF88E3" w14:textId="14A8B165" w:rsidR="009F4B88" w:rsidRPr="00975EAC" w:rsidRDefault="001D5681" w:rsidP="00625B23">
            <w:pPr>
              <w:spacing w:before="240"/>
              <w:rPr>
                <w:rFonts w:asciiTheme="majorHAnsi" w:eastAsia="Times New Roman" w:hAnsiTheme="majorHAnsi" w:cs="Times New Roman"/>
                <w:b/>
                <w:color w:val="000000" w:themeColor="text1"/>
                <w:sz w:val="24"/>
                <w:szCs w:val="24"/>
              </w:rPr>
            </w:pPr>
            <w:sdt>
              <w:sdtPr>
                <w:rPr>
                  <w:rFonts w:asciiTheme="majorHAnsi" w:eastAsia="Times New Roman" w:hAnsiTheme="majorHAnsi" w:cs="Times New Roman"/>
                  <w:b/>
                  <w:color w:val="000000" w:themeColor="text1"/>
                  <w:sz w:val="24"/>
                  <w:szCs w:val="24"/>
                </w:rPr>
                <w:id w:val="66781862"/>
                <w:placeholder>
                  <w:docPart w:val="132F519C2AB2449B9A099D801C639D33"/>
                </w:placeholder>
                <w15:appearance w15:val="hidden"/>
              </w:sdtPr>
              <w:sdtEndPr/>
              <w:sdtContent>
                <w:r w:rsidR="009F4B88" w:rsidRPr="00975EAC">
                  <w:rPr>
                    <w:rFonts w:asciiTheme="majorHAnsi" w:eastAsia="Times New Roman" w:hAnsiTheme="majorHAnsi" w:cs="Times New Roman"/>
                    <w:b/>
                    <w:color w:val="000000" w:themeColor="text1"/>
                    <w:sz w:val="24"/>
                    <w:szCs w:val="24"/>
                  </w:rPr>
                  <w:t>2024 Q</w:t>
                </w:r>
                <w:r w:rsidR="0083197E" w:rsidRPr="00975EAC">
                  <w:rPr>
                    <w:rFonts w:asciiTheme="majorHAnsi" w:eastAsia="Times New Roman" w:hAnsiTheme="majorHAnsi" w:cs="Times New Roman"/>
                    <w:b/>
                    <w:color w:val="000000" w:themeColor="text1"/>
                    <w:sz w:val="24"/>
                    <w:szCs w:val="24"/>
                  </w:rPr>
                  <w:t>2</w:t>
                </w:r>
                <w:r w:rsidR="004E08DF" w:rsidRPr="00975EAC">
                  <w:rPr>
                    <w:rFonts w:asciiTheme="majorHAnsi" w:eastAsia="Times New Roman" w:hAnsiTheme="majorHAnsi" w:cs="Times New Roman"/>
                    <w:b/>
                    <w:color w:val="000000" w:themeColor="text1"/>
                    <w:sz w:val="24"/>
                    <w:szCs w:val="24"/>
                  </w:rPr>
                  <w:t xml:space="preserve">           </w:t>
                </w:r>
                <w:r w:rsidR="00080E89" w:rsidRPr="00975EAC">
                  <w:rPr>
                    <w:rFonts w:asciiTheme="majorHAnsi" w:eastAsia="Times New Roman" w:hAnsiTheme="majorHAnsi" w:cs="Times New Roman"/>
                    <w:b/>
                    <w:color w:val="000000" w:themeColor="text1"/>
                    <w:sz w:val="24"/>
                    <w:szCs w:val="24"/>
                  </w:rPr>
                  <w:t>PIBJ</w:t>
                </w:r>
                <w:r w:rsidR="007326EF" w:rsidRPr="00975EAC">
                  <w:rPr>
                    <w:rFonts w:asciiTheme="majorHAnsi" w:eastAsia="Times New Roman" w:hAnsiTheme="majorHAnsi" w:cs="Times New Roman"/>
                    <w:b/>
                    <w:color w:val="000000" w:themeColor="text1"/>
                    <w:sz w:val="24"/>
                    <w:szCs w:val="24"/>
                  </w:rPr>
                  <w:t xml:space="preserve"> Issue </w:t>
                </w:r>
                <w:r w:rsidR="00A44CCC" w:rsidRPr="00975EAC">
                  <w:rPr>
                    <w:rFonts w:asciiTheme="majorHAnsi" w:eastAsia="Times New Roman" w:hAnsiTheme="majorHAnsi" w:cs="Times New Roman"/>
                    <w:b/>
                    <w:color w:val="000000" w:themeColor="text1"/>
                    <w:sz w:val="24"/>
                    <w:szCs w:val="24"/>
                  </w:rPr>
                  <w:t>#</w:t>
                </w:r>
                <w:r w:rsidR="00262FB5" w:rsidRPr="00975EAC">
                  <w:rPr>
                    <w:rFonts w:asciiTheme="majorHAnsi" w:eastAsia="Times New Roman" w:hAnsiTheme="majorHAnsi" w:cs="Times New Roman"/>
                    <w:b/>
                    <w:color w:val="000000" w:themeColor="text1"/>
                    <w:sz w:val="24"/>
                    <w:szCs w:val="24"/>
                  </w:rPr>
                  <w:t xml:space="preserve"> </w:t>
                </w:r>
                <w:r w:rsidR="00F522EF" w:rsidRPr="00975EAC">
                  <w:rPr>
                    <w:rFonts w:asciiTheme="majorHAnsi" w:eastAsia="Times New Roman" w:hAnsiTheme="majorHAnsi" w:cs="Times New Roman"/>
                    <w:b/>
                    <w:color w:val="000000" w:themeColor="text1"/>
                    <w:sz w:val="24"/>
                    <w:szCs w:val="24"/>
                  </w:rPr>
                  <w:t>4</w:t>
                </w:r>
                <w:r w:rsidR="00262FB5" w:rsidRPr="00975EAC">
                  <w:rPr>
                    <w:rFonts w:asciiTheme="majorHAnsi" w:eastAsia="Times New Roman" w:hAnsiTheme="majorHAnsi" w:cs="Times New Roman"/>
                    <w:b/>
                    <w:color w:val="000000" w:themeColor="text1"/>
                    <w:sz w:val="24"/>
                    <w:szCs w:val="24"/>
                  </w:rPr>
                  <w:t xml:space="preserve"> </w:t>
                </w:r>
              </w:sdtContent>
            </w:sdt>
          </w:p>
        </w:tc>
      </w:tr>
      <w:tr w:rsidR="00E21EA0" w:rsidRPr="0009687E" w14:paraId="3BD7DAD9" w14:textId="77777777" w:rsidTr="00F640FD">
        <w:trPr>
          <w:trHeight w:val="6426"/>
        </w:trPr>
        <w:tc>
          <w:tcPr>
            <w:tcW w:w="11520" w:type="dxa"/>
            <w:gridSpan w:val="3"/>
            <w:tcBorders>
              <w:top w:val="nil"/>
              <w:left w:val="nil"/>
              <w:bottom w:val="nil"/>
              <w:right w:val="nil"/>
            </w:tcBorders>
            <w:tcMar>
              <w:left w:w="0" w:type="dxa"/>
              <w:right w:w="0" w:type="dxa"/>
            </w:tcMar>
          </w:tcPr>
          <w:p w14:paraId="47AEFABC" w14:textId="2EDFB9FC" w:rsidR="00782587" w:rsidRPr="0009687E" w:rsidRDefault="00F7297C" w:rsidP="00F7297C">
            <w:pPr>
              <w:spacing w:before="240"/>
              <w:jc w:val="center"/>
              <w:rPr>
                <w:rFonts w:asciiTheme="majorHAnsi" w:eastAsia="Times New Roman" w:hAnsiTheme="majorHAnsi" w:cs="Times New Roman"/>
                <w:bCs/>
                <w:color w:val="000000" w:themeColor="text1"/>
                <w:sz w:val="24"/>
                <w:szCs w:val="24"/>
              </w:rPr>
            </w:pPr>
            <w:r w:rsidRPr="0009687E">
              <w:rPr>
                <w:rFonts w:asciiTheme="majorHAnsi" w:eastAsia="Times New Roman" w:hAnsiTheme="majorHAnsi" w:cs="Times New Roman"/>
                <w:bCs/>
                <w:noProof/>
                <w:color w:val="000000" w:themeColor="text1"/>
                <w:sz w:val="24"/>
                <w:szCs w:val="24"/>
              </w:rPr>
              <w:drawing>
                <wp:anchor distT="0" distB="0" distL="114300" distR="114300" simplePos="0" relativeHeight="251666944" behindDoc="0" locked="0" layoutInCell="1" allowOverlap="1" wp14:anchorId="66DB52C6" wp14:editId="04F783B1">
                  <wp:simplePos x="0" y="0"/>
                  <wp:positionH relativeFrom="column">
                    <wp:posOffset>944476</wp:posOffset>
                  </wp:positionH>
                  <wp:positionV relativeFrom="paragraph">
                    <wp:posOffset>1598410</wp:posOffset>
                  </wp:positionV>
                  <wp:extent cx="1805964" cy="1637706"/>
                  <wp:effectExtent l="0" t="0" r="0" b="635"/>
                  <wp:wrapNone/>
                  <wp:docPr id="255951281" name="Picture 5"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51281" name="Picture 5" descr="A logo with a black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5964" cy="1637706"/>
                          </a:xfrm>
                          <a:prstGeom prst="rect">
                            <a:avLst/>
                          </a:prstGeom>
                          <a:noFill/>
                        </pic:spPr>
                      </pic:pic>
                    </a:graphicData>
                  </a:graphic>
                  <wp14:sizeRelH relativeFrom="page">
                    <wp14:pctWidth>0</wp14:pctWidth>
                  </wp14:sizeRelH>
                  <wp14:sizeRelV relativeFrom="page">
                    <wp14:pctHeight>0</wp14:pctHeight>
                  </wp14:sizeRelV>
                </wp:anchor>
              </w:drawing>
            </w:r>
            <w:r w:rsidR="00A10744" w:rsidRPr="0009687E">
              <w:rPr>
                <w:rFonts w:asciiTheme="majorHAnsi" w:eastAsia="Times New Roman" w:hAnsiTheme="majorHAnsi" w:cs="Times New Roman"/>
                <w:bCs/>
                <w:noProof/>
                <w:color w:val="000000" w:themeColor="text1"/>
                <w:sz w:val="24"/>
                <w:szCs w:val="24"/>
              </w:rPr>
              <mc:AlternateContent>
                <mc:Choice Requires="wps">
                  <w:drawing>
                    <wp:anchor distT="45720" distB="45720" distL="114300" distR="114300" simplePos="0" relativeHeight="251655680" behindDoc="0" locked="0" layoutInCell="1" allowOverlap="1" wp14:anchorId="296218D6" wp14:editId="5C7A323A">
                      <wp:simplePos x="0" y="0"/>
                      <wp:positionH relativeFrom="column">
                        <wp:posOffset>400050</wp:posOffset>
                      </wp:positionH>
                      <wp:positionV relativeFrom="page">
                        <wp:posOffset>-17145</wp:posOffset>
                      </wp:positionV>
                      <wp:extent cx="6002655" cy="4648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464820"/>
                              </a:xfrm>
                              <a:prstGeom prst="rect">
                                <a:avLst/>
                              </a:prstGeom>
                              <a:solidFill>
                                <a:sysClr val="window" lastClr="FFFFFF">
                                  <a:lumMod val="50000"/>
                                </a:sysClr>
                              </a:solidFill>
                              <a:ln w="9525">
                                <a:noFill/>
                                <a:miter lim="800000"/>
                                <a:headEnd/>
                                <a:tailEnd/>
                              </a:ln>
                            </wps:spPr>
                            <wps:txbx>
                              <w:txbxContent>
                                <w:sdt>
                                  <w:sdtPr>
                                    <w:id w:val="-781496170"/>
                                    <w:placeholder>
                                      <w:docPart w:val="9BDD93DC71A64180BD8CD9558453712A"/>
                                    </w:placeholder>
                                    <w15:appearance w15:val="hidden"/>
                                  </w:sdtPr>
                                  <w:sdtEndPr/>
                                  <w:sdtContent>
                                    <w:p w14:paraId="1EEFE5DC" w14:textId="77777777" w:rsidR="009F4B88" w:rsidRPr="00FD113C" w:rsidRDefault="009F4B88" w:rsidP="009F4B88">
                                      <w:pPr>
                                        <w:pStyle w:val="WhiteArticleTitle"/>
                                        <w:jc w:val="center"/>
                                        <w:rPr>
                                          <w:sz w:val="44"/>
                                          <w:szCs w:val="44"/>
                                        </w:rPr>
                                      </w:pPr>
                                      <w:r w:rsidRPr="00FD113C">
                                        <w:rPr>
                                          <w:sz w:val="44"/>
                                          <w:szCs w:val="44"/>
                                        </w:rPr>
                                        <w:t>Published by PyrrhicPress.Org</w:t>
                                      </w:r>
                                    </w:p>
                                    <w:p w14:paraId="7451E3BD" w14:textId="77777777" w:rsidR="009F4B88" w:rsidRPr="00004C2C" w:rsidRDefault="001D5681" w:rsidP="009F4B88">
                                      <w:pPr>
                                        <w:pStyle w:val="WhiteArticleTitle"/>
                                        <w:jc w:val="center"/>
                                      </w:pPr>
                                    </w:p>
                                  </w:sdtContent>
                                </w:sdt>
                                <w:p w14:paraId="049ABA0E" w14:textId="77777777" w:rsidR="009F4B88" w:rsidRPr="00004C2C" w:rsidRDefault="009F4B88" w:rsidP="009F4B88">
                                  <w:pPr>
                                    <w:pStyle w:val="WhiteArticleSubtitle"/>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6218D6" id="_x0000_t202" coordsize="21600,21600" o:spt="202" path="m,l,21600r21600,l21600,xe">
                      <v:stroke joinstyle="miter"/>
                      <v:path gradientshapeok="t" o:connecttype="rect"/>
                    </v:shapetype>
                    <v:shape id="Text Box 2" o:spid="_x0000_s1026" type="#_x0000_t202" style="position:absolute;left:0;text-align:left;margin-left:31.5pt;margin-top:-1.35pt;width:472.65pt;height:36.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TfJwIAACkEAAAOAAAAZHJzL2Uyb0RvYy54bWysU8GO0zAQvSPxD5bvNGnVlG7UdLV0KUJa&#10;FqSFD3Acp7GwPcZ2m5SvZ+xkuwVuCB8sj2f8ZubN8+Z20IqchPMSTEXns5wSYTg00hwq+u3r/s2a&#10;Eh+YaZgCIyp6Fp7ebl+/2vS2FAvoQDXCEQQxvuxtRbsQbJllnndCMz8DKww6W3CaBTTdIWsc6xFd&#10;q2yR56usB9dYB1x4j7f3o5NuE37bCh4+t60XgaiKYm0h7S7tddyz7YaVB8dsJ/lUBvuHKjSTBpNe&#10;oO5ZYOTo5F9QWnIHHtow46AzaFvJReoBu5nnf3Tz1DErUi9IjrcXmvz/g+WPpyf7xZEwvIMBB5ia&#10;8PYB+HdPDOw6Zg7izjnoO8EaTDyPlGW99eX0NFLtSx9B6v4TNDhkdgyQgIbW6cgK9kkQHQdwvpAu&#10;hkA4Xq7yfLEqCko4+par5XqRppKx8vm1dT58EKBJPFTU4VATOjs9+BCrYeVzSEzmQclmL5VKxtnv&#10;lCMnhvNH2TTQU6KYD3hZ0X1aCUsdNdY+xhU5rtQmgqX3KcdvuMqQvqI3xaJIzw3EhElMWgZUtJK6&#10;ousINGks0vfeNCkkMKnGM5auzMRnpHAkMwz1gIGR1xqaMzLrYFQu/jQ8dOB+UtKjaivqfxyZE9jU&#10;R4PTuZkvl1HmyVgWb5FL4q499bWHGY5QFeXBUTIau5A+R6TOwB3OsZWJ4pdapmpRj4mV6e9EwV/b&#10;Kerlh29/AQAA//8DAFBLAwQUAAYACAAAACEAkpGJjOAAAAAJAQAADwAAAGRycy9kb3ducmV2Lnht&#10;bEyPT0sDMRTE74LfITzBW5vY0j+s+7ZIpSBCBVv1nG6eu0s3L2uStms/fdOTHocZZn6TL3rbiiP5&#10;0DhGeBgqEMSlMw1XCB/b1WAOIkTNRreOCeGXAiyK25tcZ8ad+J2Om1iJVMIh0wh1jF0mZShrsjoM&#10;XUecvG/nrY5J+koar0+p3LZypNRUWt1wWqh1R8uayv3mYBGqyflrxZ97t9xG5c/+7fVl/fyDeH/X&#10;Pz2CiNTHvzBc8RM6FIlp5w5sgmgRpuN0JSIMRjMQV1+p+RjEDmGmJiCLXP5/UFwAAAD//wMAUEsB&#10;Ai0AFAAGAAgAAAAhALaDOJL+AAAA4QEAABMAAAAAAAAAAAAAAAAAAAAAAFtDb250ZW50X1R5cGVz&#10;XS54bWxQSwECLQAUAAYACAAAACEAOP0h/9YAAACUAQAACwAAAAAAAAAAAAAAAAAvAQAAX3JlbHMv&#10;LnJlbHNQSwECLQAUAAYACAAAACEA5X+k3ycCAAApBAAADgAAAAAAAAAAAAAAAAAuAgAAZHJzL2Uy&#10;b0RvYy54bWxQSwECLQAUAAYACAAAACEAkpGJjOAAAAAJAQAADwAAAAAAAAAAAAAAAACBBAAAZHJz&#10;L2Rvd25yZXYueG1sUEsFBgAAAAAEAAQA8wAAAI4FAAAAAA==&#10;" fillcolor="#7f7f7f" stroked="f">
                      <v:textbox>
                        <w:txbxContent>
                          <w:sdt>
                            <w:sdtPr>
                              <w:id w:val="-781496170"/>
                              <w:placeholder>
                                <w:docPart w:val="9BDD93DC71A64180BD8CD9558453712A"/>
                              </w:placeholder>
                              <w15:appearance w15:val="hidden"/>
                            </w:sdtPr>
                            <w:sdtEndPr/>
                            <w:sdtContent>
                              <w:p w14:paraId="1EEFE5DC" w14:textId="77777777" w:rsidR="009F4B88" w:rsidRPr="00FD113C" w:rsidRDefault="009F4B88" w:rsidP="009F4B88">
                                <w:pPr>
                                  <w:pStyle w:val="WhiteArticleTitle"/>
                                  <w:jc w:val="center"/>
                                  <w:rPr>
                                    <w:sz w:val="44"/>
                                    <w:szCs w:val="44"/>
                                  </w:rPr>
                                </w:pPr>
                                <w:r w:rsidRPr="00FD113C">
                                  <w:rPr>
                                    <w:sz w:val="44"/>
                                    <w:szCs w:val="44"/>
                                  </w:rPr>
                                  <w:t>Published by PyrrhicPress.Org</w:t>
                                </w:r>
                              </w:p>
                              <w:p w14:paraId="7451E3BD" w14:textId="77777777" w:rsidR="009F4B88" w:rsidRPr="00004C2C" w:rsidRDefault="001D5681" w:rsidP="009F4B88">
                                <w:pPr>
                                  <w:pStyle w:val="WhiteArticleTitle"/>
                                  <w:jc w:val="center"/>
                                </w:pPr>
                              </w:p>
                            </w:sdtContent>
                          </w:sdt>
                          <w:p w14:paraId="049ABA0E" w14:textId="77777777" w:rsidR="009F4B88" w:rsidRPr="00004C2C" w:rsidRDefault="009F4B88" w:rsidP="009F4B88">
                            <w:pPr>
                              <w:pStyle w:val="WhiteArticleSubtitle"/>
                              <w:jc w:val="center"/>
                            </w:pPr>
                          </w:p>
                        </w:txbxContent>
                      </v:textbox>
                      <w10:wrap anchory="page"/>
                    </v:shape>
                  </w:pict>
                </mc:Fallback>
              </mc:AlternateContent>
            </w:r>
            <w:r w:rsidRPr="0009687E">
              <w:rPr>
                <w:rFonts w:asciiTheme="majorHAnsi" w:eastAsia="Times New Roman" w:hAnsiTheme="majorHAnsi" w:cs="Times New Roman"/>
                <w:bCs/>
                <w:noProof/>
                <w:color w:val="000000" w:themeColor="text1"/>
                <w:sz w:val="24"/>
                <w:szCs w:val="24"/>
              </w:rPr>
              <w:drawing>
                <wp:inline distT="0" distB="0" distL="0" distR="0" wp14:anchorId="3852E7FE" wp14:editId="167FF44B">
                  <wp:extent cx="5943600" cy="3961432"/>
                  <wp:effectExtent l="0" t="0" r="0" b="1270"/>
                  <wp:docPr id="1797922728" name="Picture 8" descr="Arrows pointing right while one points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922728" name="Picture 8" descr="Arrows pointing right while one points lef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961432"/>
                          </a:xfrm>
                          <a:prstGeom prst="rect">
                            <a:avLst/>
                          </a:prstGeom>
                        </pic:spPr>
                      </pic:pic>
                    </a:graphicData>
                  </a:graphic>
                </wp:inline>
              </w:drawing>
            </w:r>
          </w:p>
          <w:p w14:paraId="2C01EE9A" w14:textId="281DD101" w:rsidR="007F03DD" w:rsidRPr="00A000EE" w:rsidRDefault="00975EAC" w:rsidP="00901A77">
            <w:pPr>
              <w:pBdr>
                <w:top w:val="single" w:sz="2" w:space="0" w:color="E3E3E3"/>
                <w:left w:val="single" w:sz="2" w:space="0" w:color="E3E3E3"/>
                <w:bottom w:val="single" w:sz="2" w:space="0" w:color="E3E3E3"/>
                <w:right w:val="single" w:sz="2" w:space="0" w:color="E3E3E3"/>
              </w:pBdr>
              <w:shd w:val="clear" w:color="auto" w:fill="FFFFFF"/>
              <w:ind w:left="720"/>
              <w:jc w:val="center"/>
              <w:rPr>
                <w:rFonts w:asciiTheme="majorHAnsi" w:eastAsia="Times New Roman" w:hAnsiTheme="majorHAnsi" w:cs="Times New Roman"/>
                <w:b/>
                <w:color w:val="F79109"/>
                <w:kern w:val="2"/>
                <w:sz w:val="56"/>
                <w:szCs w:val="56"/>
                <w14:ligatures w14:val="standardContextual"/>
              </w:rPr>
            </w:pPr>
            <w:r w:rsidRPr="00A000EE">
              <w:rPr>
                <w:rFonts w:asciiTheme="majorHAnsi" w:eastAsia="Times New Roman" w:hAnsiTheme="majorHAnsi" w:cs="Times New Roman"/>
                <w:b/>
                <w:color w:val="F79109"/>
                <w:sz w:val="56"/>
                <w:szCs w:val="56"/>
              </w:rPr>
              <w:t xml:space="preserve">Special </w:t>
            </w:r>
            <w:r w:rsidR="00F76D60" w:rsidRPr="00A000EE">
              <w:rPr>
                <w:rFonts w:asciiTheme="majorHAnsi" w:eastAsia="Times New Roman" w:hAnsiTheme="majorHAnsi" w:cs="Times New Roman"/>
                <w:b/>
                <w:color w:val="F79109"/>
                <w:sz w:val="56"/>
                <w:szCs w:val="56"/>
              </w:rPr>
              <w:t>Theories issue</w:t>
            </w:r>
            <w:r w:rsidR="00E53387" w:rsidRPr="00A000EE">
              <w:rPr>
                <w:rFonts w:asciiTheme="majorHAnsi" w:eastAsia="Times New Roman" w:hAnsiTheme="majorHAnsi" w:cs="Times New Roman"/>
                <w:b/>
                <w:color w:val="F79109"/>
                <w:sz w:val="56"/>
                <w:szCs w:val="56"/>
              </w:rPr>
              <w:t xml:space="preserve"> </w:t>
            </w:r>
            <w:r w:rsidR="007F03DD" w:rsidRPr="00A000EE">
              <w:rPr>
                <w:rFonts w:asciiTheme="majorHAnsi" w:eastAsia="Times New Roman" w:hAnsiTheme="majorHAnsi" w:cs="Times New Roman"/>
                <w:b/>
                <w:color w:val="F79109"/>
                <w:sz w:val="56"/>
                <w:szCs w:val="56"/>
              </w:rPr>
              <w:t>–</w:t>
            </w:r>
          </w:p>
          <w:p w14:paraId="2C2DAB01" w14:textId="46270D61" w:rsidR="009F4B88" w:rsidRPr="00565EA8" w:rsidRDefault="00F76D60" w:rsidP="00BC661C">
            <w:pPr>
              <w:pBdr>
                <w:top w:val="single" w:sz="2" w:space="0" w:color="E3E3E3"/>
                <w:left w:val="single" w:sz="2" w:space="0" w:color="E3E3E3"/>
                <w:bottom w:val="single" w:sz="2" w:space="0" w:color="E3E3E3"/>
                <w:right w:val="single" w:sz="2" w:space="0" w:color="E3E3E3"/>
              </w:pBdr>
              <w:shd w:val="clear" w:color="auto" w:fill="FFFFFF"/>
              <w:ind w:left="720"/>
              <w:jc w:val="center"/>
              <w:rPr>
                <w:rFonts w:asciiTheme="majorHAnsi" w:eastAsia="Times New Roman" w:hAnsiTheme="majorHAnsi" w:cs="Segoe UI"/>
                <w:bCs/>
                <w:color w:val="0D0D0D"/>
                <w:sz w:val="44"/>
                <w:szCs w:val="44"/>
              </w:rPr>
            </w:pPr>
            <w:r w:rsidRPr="00565EA8">
              <w:rPr>
                <w:rFonts w:asciiTheme="majorHAnsi" w:eastAsia="Times New Roman" w:hAnsiTheme="majorHAnsi" w:cs="Segoe UI"/>
                <w:bCs/>
                <w:color w:val="0D0D0D"/>
                <w:sz w:val="44"/>
                <w:szCs w:val="44"/>
              </w:rPr>
              <w:t>Universal Resilience Theory</w:t>
            </w:r>
            <w:r w:rsidR="00975EAC" w:rsidRPr="00565EA8">
              <w:rPr>
                <w:rFonts w:asciiTheme="majorHAnsi" w:eastAsia="Times New Roman" w:hAnsiTheme="majorHAnsi" w:cs="Segoe UI"/>
                <w:bCs/>
                <w:color w:val="0D0D0D"/>
                <w:sz w:val="44"/>
                <w:szCs w:val="44"/>
              </w:rPr>
              <w:t xml:space="preserve"> (URT)</w:t>
            </w:r>
          </w:p>
          <w:p w14:paraId="321D1BE4" w14:textId="4CC5B2D8" w:rsidR="00FC07EA" w:rsidRPr="00565EA8" w:rsidRDefault="00FC07EA" w:rsidP="00BC661C">
            <w:pPr>
              <w:pBdr>
                <w:top w:val="single" w:sz="2" w:space="0" w:color="E3E3E3"/>
                <w:left w:val="single" w:sz="2" w:space="0" w:color="E3E3E3"/>
                <w:bottom w:val="single" w:sz="2" w:space="0" w:color="E3E3E3"/>
                <w:right w:val="single" w:sz="2" w:space="0" w:color="E3E3E3"/>
              </w:pBdr>
              <w:shd w:val="clear" w:color="auto" w:fill="FFFFFF"/>
              <w:ind w:left="720"/>
              <w:jc w:val="center"/>
              <w:rPr>
                <w:rFonts w:asciiTheme="majorHAnsi" w:eastAsia="Times New Roman" w:hAnsiTheme="majorHAnsi" w:cs="Segoe UI"/>
                <w:bCs/>
                <w:color w:val="0D0D0D"/>
                <w:sz w:val="44"/>
                <w:szCs w:val="44"/>
              </w:rPr>
            </w:pPr>
            <w:r w:rsidRPr="00565EA8">
              <w:rPr>
                <w:rFonts w:asciiTheme="majorHAnsi" w:eastAsia="Times New Roman" w:hAnsiTheme="majorHAnsi" w:cs="Segoe UI"/>
                <w:bCs/>
                <w:color w:val="0D0D0D"/>
                <w:sz w:val="44"/>
                <w:szCs w:val="44"/>
              </w:rPr>
              <w:t>Dynamic Value Networks Theory</w:t>
            </w:r>
            <w:r w:rsidR="00975EAC" w:rsidRPr="00565EA8">
              <w:rPr>
                <w:rFonts w:asciiTheme="majorHAnsi" w:eastAsia="Times New Roman" w:hAnsiTheme="majorHAnsi" w:cs="Segoe UI"/>
                <w:bCs/>
                <w:color w:val="0D0D0D"/>
                <w:sz w:val="44"/>
                <w:szCs w:val="44"/>
              </w:rPr>
              <w:t xml:space="preserve"> (DVN)</w:t>
            </w:r>
          </w:p>
          <w:p w14:paraId="6C970717" w14:textId="77777777" w:rsidR="00774D99" w:rsidRPr="0009687E" w:rsidRDefault="00774D99" w:rsidP="00BC661C">
            <w:pPr>
              <w:pBdr>
                <w:top w:val="single" w:sz="2" w:space="0" w:color="E3E3E3"/>
                <w:left w:val="single" w:sz="2" w:space="0" w:color="E3E3E3"/>
                <w:bottom w:val="single" w:sz="2" w:space="0" w:color="E3E3E3"/>
                <w:right w:val="single" w:sz="2" w:space="0" w:color="E3E3E3"/>
              </w:pBdr>
              <w:shd w:val="clear" w:color="auto" w:fill="FFFFFF"/>
              <w:ind w:left="720"/>
              <w:jc w:val="center"/>
              <w:rPr>
                <w:rFonts w:asciiTheme="majorHAnsi" w:eastAsia="Times New Roman" w:hAnsiTheme="majorHAnsi" w:cs="Segoe UI"/>
                <w:bCs/>
                <w:color w:val="0D0D0D"/>
                <w:sz w:val="24"/>
                <w:szCs w:val="24"/>
              </w:rPr>
            </w:pPr>
          </w:p>
          <w:p w14:paraId="5996CD6C" w14:textId="77777777" w:rsidR="00774D99" w:rsidRPr="0009687E" w:rsidRDefault="00774D99" w:rsidP="00BC661C">
            <w:pPr>
              <w:pBdr>
                <w:top w:val="single" w:sz="2" w:space="0" w:color="E3E3E3"/>
                <w:left w:val="single" w:sz="2" w:space="0" w:color="E3E3E3"/>
                <w:bottom w:val="single" w:sz="2" w:space="0" w:color="E3E3E3"/>
                <w:right w:val="single" w:sz="2" w:space="0" w:color="E3E3E3"/>
              </w:pBdr>
              <w:shd w:val="clear" w:color="auto" w:fill="FFFFFF"/>
              <w:ind w:left="720"/>
              <w:jc w:val="center"/>
              <w:rPr>
                <w:rFonts w:asciiTheme="majorHAnsi" w:eastAsia="Times New Roman" w:hAnsiTheme="majorHAnsi" w:cs="Segoe UI"/>
                <w:bCs/>
                <w:color w:val="0D0D0D"/>
                <w:sz w:val="24"/>
                <w:szCs w:val="24"/>
              </w:rPr>
            </w:pPr>
          </w:p>
          <w:p w14:paraId="57A6FA29" w14:textId="0D93D7C4" w:rsidR="00565EA8" w:rsidRPr="00A000EE" w:rsidRDefault="00565EA8" w:rsidP="00565EA8">
            <w:pPr>
              <w:rPr>
                <w:rFonts w:asciiTheme="majorHAnsi" w:eastAsia="Times New Roman" w:hAnsiTheme="majorHAnsi" w:cs="Segoe UI"/>
                <w:sz w:val="24"/>
                <w:szCs w:val="24"/>
              </w:rPr>
            </w:pPr>
          </w:p>
        </w:tc>
      </w:tr>
    </w:tbl>
    <w:p w14:paraId="51241E5A" w14:textId="6D4DE470" w:rsidR="00684B9C" w:rsidRPr="0009687E" w:rsidRDefault="00565EA8" w:rsidP="003F1407">
      <w:pPr>
        <w:keepNext/>
        <w:keepLines/>
        <w:spacing w:before="160" w:after="80"/>
        <w:outlineLvl w:val="1"/>
        <w:rPr>
          <w:rFonts w:asciiTheme="majorHAnsi" w:eastAsia="Times New Roman" w:hAnsiTheme="majorHAnsi" w:cstheme="majorBidi"/>
          <w:bCs/>
          <w:color w:val="0F4761" w:themeColor="accent1" w:themeShade="BF"/>
          <w:sz w:val="24"/>
          <w:szCs w:val="24"/>
        </w:rPr>
      </w:pPr>
      <w:bookmarkStart w:id="0" w:name="_Toc168210335"/>
      <w:bookmarkStart w:id="1" w:name="_Toc160895021"/>
      <w:r>
        <w:rPr>
          <w:rFonts w:asciiTheme="majorHAnsi" w:eastAsia="Times New Roman" w:hAnsiTheme="majorHAnsi" w:cstheme="majorBidi"/>
          <w:bCs/>
          <w:noProof/>
          <w:color w:val="0F4761" w:themeColor="accent1" w:themeShade="BF"/>
          <w:sz w:val="24"/>
          <w:szCs w:val="24"/>
        </w:rPr>
        <w:lastRenderedPageBreak/>
        <w:drawing>
          <wp:inline distT="0" distB="0" distL="0" distR="0" wp14:anchorId="27590926" wp14:editId="04AD902A">
            <wp:extent cx="5968538" cy="1511724"/>
            <wp:effectExtent l="0" t="0" r="0" b="0"/>
            <wp:docPr id="458497450" name="Picture 10" descr="People at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97450" name="Picture 10" descr="People at meeti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014752" cy="1523429"/>
                    </a:xfrm>
                    <a:prstGeom prst="rect">
                      <a:avLst/>
                    </a:prstGeom>
                    <a:noFill/>
                  </pic:spPr>
                </pic:pic>
              </a:graphicData>
            </a:graphic>
          </wp:inline>
        </w:drawing>
      </w:r>
      <w:bookmarkEnd w:id="0"/>
    </w:p>
    <w:p w14:paraId="0177674A" w14:textId="6859CC30" w:rsidR="003F1407" w:rsidRPr="0009687E" w:rsidRDefault="004C4660" w:rsidP="003F1407">
      <w:pPr>
        <w:keepNext/>
        <w:keepLines/>
        <w:spacing w:before="160" w:after="80"/>
        <w:outlineLvl w:val="1"/>
        <w:rPr>
          <w:rFonts w:asciiTheme="majorHAnsi" w:eastAsia="Times New Roman" w:hAnsiTheme="majorHAnsi" w:cstheme="majorBidi"/>
          <w:bCs/>
          <w:color w:val="0F4761" w:themeColor="accent1" w:themeShade="BF"/>
          <w:sz w:val="24"/>
          <w:szCs w:val="24"/>
        </w:rPr>
      </w:pPr>
      <w:bookmarkStart w:id="2" w:name="_Toc168210180"/>
      <w:bookmarkStart w:id="3" w:name="_Toc168210336"/>
      <w:r w:rsidRPr="0009687E">
        <w:rPr>
          <w:rFonts w:asciiTheme="majorHAnsi" w:eastAsia="Times New Roman" w:hAnsiTheme="majorHAnsi" w:cstheme="majorBidi"/>
          <w:bCs/>
          <w:color w:val="0F4761" w:themeColor="accent1" w:themeShade="BF"/>
          <w:sz w:val="24"/>
          <w:szCs w:val="24"/>
        </w:rPr>
        <w:t>Editorial Introduction</w:t>
      </w:r>
      <w:bookmarkEnd w:id="1"/>
      <w:bookmarkEnd w:id="2"/>
      <w:bookmarkEnd w:id="3"/>
    </w:p>
    <w:p w14:paraId="6DE35E9E" w14:textId="19E1B664" w:rsidR="007B142B" w:rsidRPr="007B142B" w:rsidRDefault="007B142B" w:rsidP="007B142B">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heme="majorHAnsi" w:eastAsia="Times New Roman" w:hAnsiTheme="majorHAnsi" w:cs="Segoe UI"/>
          <w:bCs/>
          <w:color w:val="0D0D0D"/>
          <w:kern w:val="0"/>
          <w:sz w:val="24"/>
          <w:szCs w:val="24"/>
          <w14:ligatures w14:val="none"/>
        </w:rPr>
      </w:pPr>
      <w:bookmarkStart w:id="4" w:name="_Toc168210181"/>
      <w:bookmarkStart w:id="5" w:name="_Toc168210337"/>
      <w:r w:rsidRPr="007B142B">
        <w:rPr>
          <w:rFonts w:asciiTheme="majorHAnsi" w:eastAsia="Times New Roman" w:hAnsiTheme="majorHAnsi" w:cs="Segoe UI"/>
          <w:bCs/>
          <w:color w:val="0D0D0D"/>
          <w:kern w:val="0"/>
          <w:sz w:val="24"/>
          <w:szCs w:val="24"/>
          <w14:ligatures w14:val="none"/>
        </w:rPr>
        <w:t xml:space="preserve">Welcome to </w:t>
      </w:r>
      <w:r w:rsidR="007358FB">
        <w:rPr>
          <w:rFonts w:asciiTheme="majorHAnsi" w:eastAsia="Times New Roman" w:hAnsiTheme="majorHAnsi" w:cs="Segoe UI"/>
          <w:bCs/>
          <w:color w:val="0D0D0D"/>
          <w:kern w:val="0"/>
          <w:sz w:val="24"/>
          <w:szCs w:val="24"/>
          <w14:ligatures w14:val="none"/>
        </w:rPr>
        <w:t>Issue</w:t>
      </w:r>
      <w:r w:rsidRPr="007B142B">
        <w:rPr>
          <w:rFonts w:asciiTheme="majorHAnsi" w:eastAsia="Times New Roman" w:hAnsiTheme="majorHAnsi" w:cs="Segoe UI"/>
          <w:bCs/>
          <w:color w:val="0D0D0D"/>
          <w:kern w:val="0"/>
          <w:sz w:val="24"/>
          <w:szCs w:val="24"/>
          <w14:ligatures w14:val="none"/>
        </w:rPr>
        <w:t xml:space="preserve"> #</w:t>
      </w:r>
      <w:r w:rsidRPr="0009687E">
        <w:rPr>
          <w:rFonts w:asciiTheme="majorHAnsi" w:eastAsia="Times New Roman" w:hAnsiTheme="majorHAnsi" w:cs="Segoe UI"/>
          <w:bCs/>
          <w:color w:val="0D0D0D"/>
          <w:kern w:val="0"/>
          <w:sz w:val="24"/>
          <w:szCs w:val="24"/>
          <w14:ligatures w14:val="none"/>
        </w:rPr>
        <w:t>4</w:t>
      </w:r>
      <w:r w:rsidRPr="007B142B">
        <w:rPr>
          <w:rFonts w:asciiTheme="majorHAnsi" w:eastAsia="Times New Roman" w:hAnsiTheme="majorHAnsi" w:cs="Segoe UI"/>
          <w:bCs/>
          <w:color w:val="0D0D0D"/>
          <w:kern w:val="0"/>
          <w:sz w:val="24"/>
          <w:szCs w:val="24"/>
          <w14:ligatures w14:val="none"/>
        </w:rPr>
        <w:t xml:space="preserve"> of the Professionals in Business Journal</w:t>
      </w:r>
      <w:bookmarkEnd w:id="4"/>
      <w:bookmarkEnd w:id="5"/>
    </w:p>
    <w:p w14:paraId="46B1D267" w14:textId="38DD56F3" w:rsidR="007B142B" w:rsidRPr="007B142B" w:rsidRDefault="007B142B" w:rsidP="007B142B">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heme="majorHAnsi" w:eastAsia="Times New Roman" w:hAnsiTheme="majorHAnsi" w:cs="Segoe UI"/>
          <w:bCs/>
          <w:color w:val="0D0D0D"/>
          <w:kern w:val="0"/>
          <w:sz w:val="24"/>
          <w:szCs w:val="24"/>
          <w14:ligatures w14:val="none"/>
        </w:rPr>
      </w:pPr>
      <w:r w:rsidRPr="007B142B">
        <w:rPr>
          <w:rFonts w:asciiTheme="majorHAnsi" w:eastAsia="Times New Roman" w:hAnsiTheme="majorHAnsi" w:cs="Segoe UI"/>
          <w:bCs/>
          <w:color w:val="0D0D0D"/>
          <w:kern w:val="0"/>
          <w:sz w:val="24"/>
          <w:szCs w:val="24"/>
          <w14:ligatures w14:val="none"/>
        </w:rPr>
        <w:t>In this</w:t>
      </w:r>
      <w:r w:rsidR="00B75077">
        <w:rPr>
          <w:rFonts w:asciiTheme="majorHAnsi" w:eastAsia="Times New Roman" w:hAnsiTheme="majorHAnsi" w:cs="Segoe UI"/>
          <w:bCs/>
          <w:color w:val="0D0D0D"/>
          <w:kern w:val="0"/>
          <w:sz w:val="24"/>
          <w:szCs w:val="24"/>
          <w14:ligatures w14:val="none"/>
        </w:rPr>
        <w:t xml:space="preserve"> Issue </w:t>
      </w:r>
      <w:r w:rsidR="00BC53CF">
        <w:rPr>
          <w:rFonts w:asciiTheme="majorHAnsi" w:eastAsia="Times New Roman" w:hAnsiTheme="majorHAnsi" w:cs="Segoe UI"/>
          <w:bCs/>
          <w:color w:val="0D0D0D"/>
          <w:kern w:val="0"/>
          <w:sz w:val="24"/>
          <w:szCs w:val="24"/>
          <w14:ligatures w14:val="none"/>
        </w:rPr>
        <w:t>4,</w:t>
      </w:r>
      <w:r w:rsidR="00B75077">
        <w:rPr>
          <w:rFonts w:asciiTheme="majorHAnsi" w:eastAsia="Times New Roman" w:hAnsiTheme="majorHAnsi" w:cs="Segoe UI"/>
          <w:bCs/>
          <w:color w:val="0D0D0D"/>
          <w:kern w:val="0"/>
          <w:sz w:val="24"/>
          <w:szCs w:val="24"/>
          <w14:ligatures w14:val="none"/>
        </w:rPr>
        <w:t xml:space="preserve"> which is also</w:t>
      </w:r>
      <w:r w:rsidRPr="007B142B">
        <w:rPr>
          <w:rFonts w:asciiTheme="majorHAnsi" w:eastAsia="Times New Roman" w:hAnsiTheme="majorHAnsi" w:cs="Segoe UI"/>
          <w:bCs/>
          <w:color w:val="0D0D0D"/>
          <w:kern w:val="0"/>
          <w:sz w:val="24"/>
          <w:szCs w:val="24"/>
          <w14:ligatures w14:val="none"/>
        </w:rPr>
        <w:t xml:space="preserve"> our second theories </w:t>
      </w:r>
      <w:r w:rsidR="007358FB">
        <w:rPr>
          <w:rFonts w:asciiTheme="majorHAnsi" w:eastAsia="Times New Roman" w:hAnsiTheme="majorHAnsi" w:cs="Segoe UI"/>
          <w:bCs/>
          <w:color w:val="0D0D0D"/>
          <w:kern w:val="0"/>
          <w:sz w:val="24"/>
          <w:szCs w:val="24"/>
          <w14:ligatures w14:val="none"/>
        </w:rPr>
        <w:t>Issue</w:t>
      </w:r>
      <w:r w:rsidRPr="007B142B">
        <w:rPr>
          <w:rFonts w:asciiTheme="majorHAnsi" w:eastAsia="Times New Roman" w:hAnsiTheme="majorHAnsi" w:cs="Segoe UI"/>
          <w:bCs/>
          <w:color w:val="0D0D0D"/>
          <w:kern w:val="0"/>
          <w:sz w:val="24"/>
          <w:szCs w:val="24"/>
          <w14:ligatures w14:val="none"/>
        </w:rPr>
        <w:t xml:space="preserve">, we are excited to explore Universal Resilience Theory and Dynamic Value Networks Theory. </w:t>
      </w:r>
      <w:r w:rsidR="00CA0F98">
        <w:rPr>
          <w:rFonts w:asciiTheme="majorHAnsi" w:eastAsia="Times New Roman" w:hAnsiTheme="majorHAnsi" w:cs="Segoe UI"/>
          <w:bCs/>
          <w:color w:val="0D0D0D"/>
          <w:kern w:val="0"/>
          <w:sz w:val="24"/>
          <w:szCs w:val="24"/>
          <w14:ligatures w14:val="none"/>
        </w:rPr>
        <w:t>W</w:t>
      </w:r>
      <w:r w:rsidRPr="007B142B">
        <w:rPr>
          <w:rFonts w:asciiTheme="majorHAnsi" w:eastAsia="Times New Roman" w:hAnsiTheme="majorHAnsi" w:cs="Segoe UI"/>
          <w:bCs/>
          <w:color w:val="0D0D0D"/>
          <w:kern w:val="0"/>
          <w:sz w:val="24"/>
          <w:szCs w:val="24"/>
          <w14:ligatures w14:val="none"/>
        </w:rPr>
        <w:t>e continue our mission to delve into the ever-evolving landscape of business and professional development. As editors, it is our privilege to curate content that reflects the latest trends and insights while fostering a community of learning and growth among our readers.</w:t>
      </w:r>
    </w:p>
    <w:p w14:paraId="4D3A12B8" w14:textId="77777777" w:rsidR="007B142B" w:rsidRPr="007B142B" w:rsidRDefault="007B142B" w:rsidP="007B142B">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Theme="majorHAnsi" w:eastAsia="Times New Roman" w:hAnsiTheme="majorHAnsi" w:cs="Segoe UI"/>
          <w:bCs/>
          <w:color w:val="0D0D0D"/>
          <w:kern w:val="0"/>
          <w:sz w:val="24"/>
          <w:szCs w:val="24"/>
          <w14:ligatures w14:val="none"/>
        </w:rPr>
      </w:pPr>
      <w:r w:rsidRPr="007B142B">
        <w:rPr>
          <w:rFonts w:asciiTheme="majorHAnsi" w:eastAsia="Times New Roman" w:hAnsiTheme="majorHAnsi" w:cs="Segoe UI"/>
          <w:bCs/>
          <w:color w:val="0D0D0D"/>
          <w:kern w:val="0"/>
          <w:sz w:val="24"/>
          <w:szCs w:val="24"/>
          <w14:ligatures w14:val="none"/>
        </w:rPr>
        <w:t>Universal Resilience Theory and Dynamic Value Networks Theory</w:t>
      </w:r>
    </w:p>
    <w:p w14:paraId="6E071614" w14:textId="7E8CDAC8" w:rsidR="00F87472" w:rsidRDefault="007B142B" w:rsidP="00CF5FBE">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heme="majorHAnsi" w:eastAsia="Times New Roman" w:hAnsiTheme="majorHAnsi" w:cs="Segoe UI"/>
          <w:bCs/>
          <w:color w:val="0D0D0D"/>
          <w:kern w:val="0"/>
          <w:sz w:val="24"/>
          <w:szCs w:val="24"/>
          <w14:ligatures w14:val="none"/>
        </w:rPr>
      </w:pPr>
      <w:r w:rsidRPr="007B142B">
        <w:rPr>
          <w:rFonts w:asciiTheme="majorHAnsi" w:eastAsia="Times New Roman" w:hAnsiTheme="majorHAnsi" w:cs="Segoe UI"/>
          <w:bCs/>
          <w:color w:val="0D0D0D"/>
          <w:kern w:val="0"/>
          <w:sz w:val="24"/>
          <w:szCs w:val="24"/>
          <w14:ligatures w14:val="none"/>
        </w:rPr>
        <w:t>Our focus on Universal Resilience Theory and Dynamic Value Networks Theory offers deep insights into how organizations can thrive amid uncertainty and complexity. These theories provide frameworks for understanding and enhancing organizational resilience and value creation in dynamic environments. Articles in this section discuss practical applications and theoretical advancements, offering readers a comprehensive understanding of these cutting-edge concepts.</w:t>
      </w:r>
    </w:p>
    <w:p w14:paraId="57D9E36A" w14:textId="5E5495E3" w:rsidR="007B142B" w:rsidRPr="007B142B" w:rsidRDefault="007B142B" w:rsidP="007B142B">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heme="majorHAnsi" w:eastAsia="Times New Roman" w:hAnsiTheme="majorHAnsi" w:cs="Segoe UI"/>
          <w:bCs/>
          <w:color w:val="0D0D0D"/>
          <w:kern w:val="0"/>
          <w:sz w:val="24"/>
          <w:szCs w:val="24"/>
          <w14:ligatures w14:val="none"/>
        </w:rPr>
      </w:pPr>
      <w:bookmarkStart w:id="6" w:name="_Toc168210182"/>
      <w:bookmarkStart w:id="7" w:name="_Toc168210338"/>
      <w:r w:rsidRPr="007B142B">
        <w:rPr>
          <w:rFonts w:asciiTheme="majorHAnsi" w:eastAsia="Times New Roman" w:hAnsiTheme="majorHAnsi" w:cs="Segoe UI"/>
          <w:bCs/>
          <w:color w:val="0D0D0D"/>
          <w:kern w:val="0"/>
          <w:sz w:val="24"/>
          <w:szCs w:val="24"/>
          <w14:ligatures w14:val="none"/>
        </w:rPr>
        <w:t>Our Commitment</w:t>
      </w:r>
      <w:bookmarkEnd w:id="6"/>
      <w:bookmarkEnd w:id="7"/>
    </w:p>
    <w:p w14:paraId="1A382FBC" w14:textId="188FF56A" w:rsidR="00BC6C81" w:rsidRPr="007B142B" w:rsidRDefault="007B142B" w:rsidP="007B142B">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heme="majorHAnsi" w:eastAsia="Times New Roman" w:hAnsiTheme="majorHAnsi" w:cs="Segoe UI"/>
          <w:bCs/>
          <w:color w:val="0D0D0D"/>
          <w:kern w:val="0"/>
          <w:sz w:val="24"/>
          <w:szCs w:val="24"/>
          <w14:ligatures w14:val="none"/>
        </w:rPr>
      </w:pPr>
      <w:r w:rsidRPr="007B142B">
        <w:rPr>
          <w:rFonts w:asciiTheme="majorHAnsi" w:eastAsia="Times New Roman" w:hAnsiTheme="majorHAnsi" w:cs="Segoe UI"/>
          <w:bCs/>
          <w:color w:val="0D0D0D"/>
          <w:kern w:val="0"/>
          <w:sz w:val="24"/>
          <w:szCs w:val="24"/>
          <w14:ligatures w14:val="none"/>
        </w:rPr>
        <w:t>We are committed to providing our readers with content that informs, inspires, and empowers. Whether you're a seasoned executive or a budding entrepreneur, the articles in this issue are designed to spark new ideas and fuel your passion for professional growth.</w:t>
      </w:r>
    </w:p>
    <w:p w14:paraId="6D394233" w14:textId="77777777" w:rsidR="007B142B" w:rsidRPr="007B142B" w:rsidRDefault="007B142B" w:rsidP="007B142B">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Theme="majorHAnsi" w:eastAsia="Times New Roman" w:hAnsiTheme="majorHAnsi" w:cs="Segoe UI"/>
          <w:bCs/>
          <w:color w:val="0D0D0D"/>
          <w:kern w:val="0"/>
          <w:sz w:val="24"/>
          <w:szCs w:val="24"/>
          <w14:ligatures w14:val="none"/>
        </w:rPr>
      </w:pPr>
      <w:bookmarkStart w:id="8" w:name="_Toc168210183"/>
      <w:bookmarkStart w:id="9" w:name="_Toc168210339"/>
      <w:r w:rsidRPr="007B142B">
        <w:rPr>
          <w:rFonts w:asciiTheme="majorHAnsi" w:eastAsia="Times New Roman" w:hAnsiTheme="majorHAnsi" w:cs="Segoe UI"/>
          <w:bCs/>
          <w:color w:val="0D0D0D"/>
          <w:kern w:val="0"/>
          <w:sz w:val="24"/>
          <w:szCs w:val="24"/>
          <w14:ligatures w14:val="none"/>
        </w:rPr>
        <w:t>Gratitude</w:t>
      </w:r>
      <w:bookmarkEnd w:id="8"/>
      <w:bookmarkEnd w:id="9"/>
    </w:p>
    <w:p w14:paraId="48AD85EE" w14:textId="6F152796" w:rsidR="007B142B" w:rsidRDefault="007B142B" w:rsidP="007B142B">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heme="majorHAnsi" w:eastAsia="Times New Roman" w:hAnsiTheme="majorHAnsi" w:cs="Segoe UI"/>
          <w:bCs/>
          <w:color w:val="0D0D0D"/>
          <w:kern w:val="0"/>
          <w:sz w:val="24"/>
          <w:szCs w:val="24"/>
          <w14:ligatures w14:val="none"/>
        </w:rPr>
      </w:pPr>
      <w:r w:rsidRPr="007B142B">
        <w:rPr>
          <w:rFonts w:asciiTheme="majorHAnsi" w:eastAsia="Times New Roman" w:hAnsiTheme="majorHAnsi" w:cs="Segoe UI"/>
          <w:bCs/>
          <w:color w:val="0D0D0D"/>
          <w:kern w:val="0"/>
          <w:sz w:val="24"/>
          <w:szCs w:val="24"/>
          <w14:ligatures w14:val="none"/>
        </w:rPr>
        <w:t>We extend our sincerest gratitude to our contributors, whose expertise and insights make this journal possible, and to our readers, whose support drives us to continually raise the bar. Thank you for joining us on this journey of exploration and discovery. We hope you find this issue of the Professionals in Business Journal both informative and engaging.</w:t>
      </w:r>
      <w:r w:rsidR="000D14B4">
        <w:rPr>
          <w:rFonts w:asciiTheme="majorHAnsi" w:eastAsia="Times New Roman" w:hAnsiTheme="majorHAnsi" w:cs="Segoe UI"/>
          <w:bCs/>
          <w:color w:val="0D0D0D"/>
          <w:kern w:val="0"/>
          <w:sz w:val="24"/>
          <w:szCs w:val="24"/>
          <w14:ligatures w14:val="none"/>
        </w:rPr>
        <w:t xml:space="preserve"> </w:t>
      </w:r>
    </w:p>
    <w:p w14:paraId="08670FC3" w14:textId="77777777" w:rsidR="001A47F9" w:rsidRPr="001E7D7E" w:rsidRDefault="001A47F9" w:rsidP="001E7D7E">
      <w:pPr>
        <w:pStyle w:val="Heading3"/>
        <w:rPr>
          <w:rFonts w:asciiTheme="majorHAnsi" w:eastAsia="Times New Roman" w:hAnsiTheme="majorHAnsi"/>
          <w:color w:val="000000" w:themeColor="text1"/>
          <w:sz w:val="24"/>
          <w:szCs w:val="24"/>
        </w:rPr>
      </w:pPr>
      <w:bookmarkStart w:id="10" w:name="_Toc168210184"/>
      <w:bookmarkStart w:id="11" w:name="_Toc168210340"/>
      <w:r w:rsidRPr="001E7D7E">
        <w:rPr>
          <w:rFonts w:asciiTheme="majorHAnsi" w:eastAsia="Times New Roman" w:hAnsiTheme="majorHAnsi"/>
          <w:color w:val="000000" w:themeColor="text1"/>
          <w:sz w:val="24"/>
          <w:szCs w:val="24"/>
        </w:rPr>
        <w:t>LAPPSE</w:t>
      </w:r>
      <w:bookmarkEnd w:id="10"/>
      <w:bookmarkEnd w:id="11"/>
    </w:p>
    <w:p w14:paraId="6F2161F2" w14:textId="3CE06A9E" w:rsidR="00FC2E47" w:rsidRDefault="00FC2E47" w:rsidP="007B142B">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heme="majorHAnsi" w:eastAsia="Times New Roman" w:hAnsiTheme="majorHAnsi" w:cs="Segoe UI"/>
          <w:bCs/>
          <w:color w:val="0D0D0D"/>
          <w:kern w:val="0"/>
          <w:sz w:val="24"/>
          <w:szCs w:val="24"/>
          <w14:ligatures w14:val="none"/>
        </w:rPr>
      </w:pPr>
      <w:r>
        <w:rPr>
          <w:rFonts w:asciiTheme="majorHAnsi" w:eastAsia="Times New Roman" w:hAnsiTheme="majorHAnsi" w:cs="Segoe UI"/>
          <w:bCs/>
          <w:color w:val="0D0D0D"/>
          <w:kern w:val="0"/>
          <w:sz w:val="24"/>
          <w:szCs w:val="24"/>
          <w14:ligatures w14:val="none"/>
        </w:rPr>
        <w:t>One last acknowledgment before we jump into it</w:t>
      </w:r>
      <w:r w:rsidR="005F3B82">
        <w:rPr>
          <w:rFonts w:asciiTheme="majorHAnsi" w:eastAsia="Times New Roman" w:hAnsiTheme="majorHAnsi" w:cs="Segoe UI"/>
          <w:bCs/>
          <w:color w:val="0D0D0D"/>
          <w:kern w:val="0"/>
          <w:sz w:val="24"/>
          <w:szCs w:val="24"/>
          <w14:ligatures w14:val="none"/>
        </w:rPr>
        <w:t>… This</w:t>
      </w:r>
      <w:r w:rsidR="00B34216">
        <w:rPr>
          <w:rFonts w:asciiTheme="majorHAnsi" w:eastAsia="Times New Roman" w:hAnsiTheme="majorHAnsi" w:cs="Segoe UI"/>
          <w:bCs/>
          <w:color w:val="0D0D0D"/>
          <w:kern w:val="0"/>
          <w:sz w:val="24"/>
          <w:szCs w:val="24"/>
          <w14:ligatures w14:val="none"/>
        </w:rPr>
        <w:t xml:space="preserve"> issue holds a special place in our heart for a multitude of reasons</w:t>
      </w:r>
      <w:r w:rsidR="002A2C28">
        <w:rPr>
          <w:rFonts w:asciiTheme="majorHAnsi" w:eastAsia="Times New Roman" w:hAnsiTheme="majorHAnsi" w:cs="Segoe UI"/>
          <w:bCs/>
          <w:color w:val="0D0D0D"/>
          <w:kern w:val="0"/>
          <w:sz w:val="24"/>
          <w:szCs w:val="24"/>
          <w14:ligatures w14:val="none"/>
        </w:rPr>
        <w:t xml:space="preserve">, primarily, because it also marks the </w:t>
      </w:r>
      <w:r w:rsidR="007B2B68">
        <w:rPr>
          <w:rFonts w:asciiTheme="majorHAnsi" w:eastAsia="Times New Roman" w:hAnsiTheme="majorHAnsi" w:cs="Segoe UI"/>
          <w:bCs/>
          <w:color w:val="0D0D0D"/>
          <w:kern w:val="0"/>
          <w:sz w:val="24"/>
          <w:szCs w:val="24"/>
          <w14:ligatures w14:val="none"/>
        </w:rPr>
        <w:t xml:space="preserve">publishing date </w:t>
      </w:r>
      <w:r w:rsidR="00C34C0B">
        <w:rPr>
          <w:rFonts w:asciiTheme="majorHAnsi" w:eastAsia="Times New Roman" w:hAnsiTheme="majorHAnsi" w:cs="Segoe UI"/>
          <w:bCs/>
          <w:color w:val="0D0D0D"/>
          <w:kern w:val="0"/>
          <w:sz w:val="24"/>
          <w:szCs w:val="24"/>
          <w14:ligatures w14:val="none"/>
        </w:rPr>
        <w:t xml:space="preserve">as well </w:t>
      </w:r>
      <w:r w:rsidR="004F0758">
        <w:rPr>
          <w:rFonts w:asciiTheme="majorHAnsi" w:eastAsia="Times New Roman" w:hAnsiTheme="majorHAnsi" w:cs="Segoe UI"/>
          <w:bCs/>
          <w:color w:val="0D0D0D"/>
          <w:kern w:val="0"/>
          <w:sz w:val="24"/>
          <w:szCs w:val="24"/>
          <w14:ligatures w14:val="none"/>
        </w:rPr>
        <w:t xml:space="preserve">as </w:t>
      </w:r>
      <w:r w:rsidR="004F0758">
        <w:rPr>
          <w:rFonts w:asciiTheme="majorHAnsi" w:eastAsia="Times New Roman" w:hAnsiTheme="majorHAnsi" w:cs="Segoe UI"/>
          <w:bCs/>
          <w:color w:val="0D0D0D"/>
          <w:kern w:val="0"/>
          <w:sz w:val="24"/>
          <w:szCs w:val="24"/>
          <w14:ligatures w14:val="none"/>
        </w:rPr>
        <w:lastRenderedPageBreak/>
        <w:t>birthdate</w:t>
      </w:r>
      <w:r w:rsidR="002A2C28">
        <w:rPr>
          <w:rFonts w:asciiTheme="majorHAnsi" w:eastAsia="Times New Roman" w:hAnsiTheme="majorHAnsi" w:cs="Segoe UI"/>
          <w:bCs/>
          <w:color w:val="0D0D0D"/>
          <w:kern w:val="0"/>
          <w:sz w:val="24"/>
          <w:szCs w:val="24"/>
          <w14:ligatures w14:val="none"/>
        </w:rPr>
        <w:t xml:space="preserve"> of one of the most influential people </w:t>
      </w:r>
      <w:r w:rsidR="007B2B68">
        <w:rPr>
          <w:rFonts w:asciiTheme="majorHAnsi" w:eastAsia="Times New Roman" w:hAnsiTheme="majorHAnsi" w:cs="Segoe UI"/>
          <w:bCs/>
          <w:color w:val="0D0D0D"/>
          <w:kern w:val="0"/>
          <w:sz w:val="24"/>
          <w:szCs w:val="24"/>
          <w14:ligatures w14:val="none"/>
        </w:rPr>
        <w:t>this organization has a had the pleasure to call mom</w:t>
      </w:r>
      <w:r w:rsidR="00C34C0B">
        <w:rPr>
          <w:rFonts w:asciiTheme="majorHAnsi" w:eastAsia="Times New Roman" w:hAnsiTheme="majorHAnsi" w:cs="Segoe UI"/>
          <w:bCs/>
          <w:color w:val="0D0D0D"/>
          <w:kern w:val="0"/>
          <w:sz w:val="24"/>
          <w:szCs w:val="24"/>
          <w14:ligatures w14:val="none"/>
        </w:rPr>
        <w:t>. Ms. Lorraine Ann Pirro.</w:t>
      </w:r>
      <w:r w:rsidR="004F0758">
        <w:rPr>
          <w:rFonts w:asciiTheme="majorHAnsi" w:eastAsia="Times New Roman" w:hAnsiTheme="majorHAnsi" w:cs="Segoe UI"/>
          <w:bCs/>
          <w:color w:val="0D0D0D"/>
          <w:kern w:val="0"/>
          <w:sz w:val="24"/>
          <w:szCs w:val="24"/>
          <w14:ligatures w14:val="none"/>
        </w:rPr>
        <w:t xml:space="preserve"> </w:t>
      </w:r>
    </w:p>
    <w:p w14:paraId="634C15F1" w14:textId="77777777" w:rsidR="000E3439" w:rsidRDefault="000E3439" w:rsidP="007B142B">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heme="majorHAnsi" w:eastAsia="Times New Roman" w:hAnsiTheme="majorHAnsi" w:cs="Segoe UI"/>
          <w:bCs/>
          <w:color w:val="0D0D0D"/>
          <w:kern w:val="0"/>
          <w:sz w:val="24"/>
          <w:szCs w:val="24"/>
          <w14:ligatures w14:val="none"/>
        </w:rPr>
      </w:pPr>
    </w:p>
    <w:p w14:paraId="4DA4CAEE" w14:textId="77777777" w:rsidR="000E3439" w:rsidRDefault="000E3439" w:rsidP="000E3439">
      <w:pPr>
        <w:jc w:val="center"/>
      </w:pPr>
      <w:r w:rsidRPr="00066763">
        <w:rPr>
          <w:rFonts w:ascii="Edwardian Script ITC" w:hAnsi="Edwardian Script ITC"/>
          <w:sz w:val="72"/>
          <w:szCs w:val="72"/>
        </w:rPr>
        <w:t>Lorraine Ann Pirro</w:t>
      </w:r>
    </w:p>
    <w:p w14:paraId="4609E806" w14:textId="77777777" w:rsidR="000E3439" w:rsidRPr="00066763" w:rsidRDefault="000E3439" w:rsidP="000E3439">
      <w:pPr>
        <w:jc w:val="center"/>
        <w:rPr>
          <w:rFonts w:ascii="Times New Roman" w:hAnsi="Times New Roman" w:cs="Times New Roman"/>
        </w:rPr>
      </w:pPr>
      <w:r w:rsidRPr="00066763">
        <w:rPr>
          <w:rFonts w:ascii="Times New Roman" w:hAnsi="Times New Roman" w:cs="Times New Roman"/>
        </w:rPr>
        <w:t>was not only a dedicated mother and educator but also a philanthropist whose passion for education extended far beyond her lifetime. Her love for educating was evident in her unwavering commitment to nurturing young minds and fostering a love for learning in her students. Throughout her career, she dedicated herself to creating innovative and impactful teaching methods, inspiring countless students to reach their full potential.</w:t>
      </w:r>
    </w:p>
    <w:p w14:paraId="051706AD" w14:textId="77777777" w:rsidR="000E3439" w:rsidRPr="00066763" w:rsidRDefault="000E3439" w:rsidP="000E3439">
      <w:pPr>
        <w:jc w:val="center"/>
        <w:rPr>
          <w:rFonts w:ascii="Times New Roman" w:hAnsi="Times New Roman" w:cs="Times New Roman"/>
        </w:rPr>
      </w:pPr>
      <w:r w:rsidRPr="00066763">
        <w:rPr>
          <w:rFonts w:ascii="Times New Roman" w:hAnsi="Times New Roman" w:cs="Times New Roman"/>
        </w:rPr>
        <w:t>Beyond her role as an educator, Lorraine Ann Pirro's legacy of giving transcended her life. She believed deeply in the power of education to transform lives and communities, and she sought to ensure that this transformative power was accessible to all. In her honor we have established the Lorraine Ann Pirro Public School Endowment (LAPPSE) Memorial Fund, as a lasting testament to her enduring commitment to education.</w:t>
      </w:r>
    </w:p>
    <w:p w14:paraId="5F67BBD1" w14:textId="77777777" w:rsidR="000E3439" w:rsidRPr="00066763" w:rsidRDefault="000E3439" w:rsidP="000E3439">
      <w:pPr>
        <w:jc w:val="center"/>
        <w:rPr>
          <w:rFonts w:ascii="Times New Roman" w:hAnsi="Times New Roman" w:cs="Times New Roman"/>
        </w:rPr>
      </w:pPr>
      <w:r w:rsidRPr="00066763">
        <w:rPr>
          <w:rFonts w:ascii="Times New Roman" w:hAnsi="Times New Roman" w:cs="Times New Roman"/>
        </w:rPr>
        <w:t>Through this fund, Lorraine Ann Pirro continues to make a difference in the lives of students and educators alike, providing support and resources to enhance educational opportunities and enrich learning experiences. Her legacy of giving beyond life serves as an inspiration to others, reminding us of the profound impact that one individual's dedication and generosity can have on the future of education and the lives of those touched by it.</w:t>
      </w:r>
    </w:p>
    <w:p w14:paraId="299D17C5" w14:textId="77777777" w:rsidR="000E3439" w:rsidRPr="00066763" w:rsidRDefault="000E3439" w:rsidP="000E3439">
      <w:pPr>
        <w:jc w:val="center"/>
        <w:rPr>
          <w:rFonts w:ascii="Times New Roman" w:hAnsi="Times New Roman" w:cs="Times New Roman"/>
        </w:rPr>
      </w:pPr>
      <w:r w:rsidRPr="00066763">
        <w:rPr>
          <w:rFonts w:ascii="Times New Roman" w:hAnsi="Times New Roman" w:cs="Times New Roman"/>
        </w:rPr>
        <w:t>LAAPSE will accept nominations throughout the year and will choose a nominee that shares the same zest and passion for education in math, reading and science as Ms. Lorraine Ann Pirro -annually on June 3rd, as a celebration of her life.</w:t>
      </w:r>
    </w:p>
    <w:p w14:paraId="0AA5A80D" w14:textId="77777777" w:rsidR="000E3439" w:rsidRDefault="000E3439" w:rsidP="000E3439">
      <w:pPr>
        <w:jc w:val="center"/>
        <w:rPr>
          <w:rFonts w:ascii="Times New Roman" w:hAnsi="Times New Roman" w:cs="Times New Roman"/>
        </w:rPr>
      </w:pPr>
      <w:r w:rsidRPr="00204B22">
        <w:rPr>
          <w:rFonts w:ascii="Times New Roman" w:hAnsi="Times New Roman" w:cs="Times New Roman"/>
        </w:rPr>
        <w:t>To donate and learn more and nominate an educator, visit:</w:t>
      </w:r>
    </w:p>
    <w:p w14:paraId="102CB924" w14:textId="77777777" w:rsidR="000E3439" w:rsidRPr="00204B22" w:rsidRDefault="000E3439" w:rsidP="000E3439">
      <w:pPr>
        <w:jc w:val="center"/>
        <w:rPr>
          <w:rFonts w:ascii="Times New Roman" w:hAnsi="Times New Roman" w:cs="Times New Roman"/>
        </w:rPr>
      </w:pPr>
      <w:r w:rsidRPr="00204B22">
        <w:rPr>
          <w:rFonts w:ascii="Times New Roman" w:hAnsi="Times New Roman" w:cs="Times New Roman"/>
        </w:rPr>
        <w:t xml:space="preserve"> </w:t>
      </w:r>
      <w:hyperlink r:id="rId11" w:history="1">
        <w:r w:rsidRPr="00204B22">
          <w:rPr>
            <w:rStyle w:val="Hyperlink"/>
            <w:rFonts w:ascii="Times New Roman" w:hAnsi="Times New Roman" w:cs="Times New Roman"/>
          </w:rPr>
          <w:t>https://www.pyrrhicpress.org/lappse-memorial-fund</w:t>
        </w:r>
      </w:hyperlink>
    </w:p>
    <w:p w14:paraId="1EC75952" w14:textId="77777777" w:rsidR="000E3439" w:rsidRPr="00204B22" w:rsidRDefault="000E3439" w:rsidP="000E3439">
      <w:pPr>
        <w:jc w:val="center"/>
        <w:rPr>
          <w:rFonts w:ascii="Times New Roman" w:hAnsi="Times New Roman" w:cs="Times New Roman"/>
        </w:rPr>
      </w:pPr>
      <w:r w:rsidRPr="00204B22">
        <w:rPr>
          <w:rFonts w:ascii="Times New Roman" w:hAnsi="Times New Roman" w:cs="Times New Roman"/>
        </w:rPr>
        <w:t xml:space="preserve">Alternatively, if you are a nominator, you can download, print, scan and email this form to: </w:t>
      </w:r>
      <w:hyperlink r:id="rId12" w:history="1">
        <w:r w:rsidRPr="00204B22">
          <w:rPr>
            <w:rStyle w:val="Hyperlink"/>
            <w:rFonts w:ascii="Times New Roman" w:hAnsi="Times New Roman" w:cs="Times New Roman"/>
          </w:rPr>
          <w:t>editor@pyrrhicpress.org</w:t>
        </w:r>
      </w:hyperlink>
    </w:p>
    <w:p w14:paraId="60BA5DF4" w14:textId="77777777" w:rsidR="000E3439" w:rsidRDefault="000E3439" w:rsidP="000E3439"/>
    <w:p w14:paraId="68B33833" w14:textId="77777777" w:rsidR="000E3439" w:rsidRDefault="000E3439" w:rsidP="000E3439">
      <w:r>
        <w:t xml:space="preserve">Thank you for being a part of, and supporting, Ms. Lorraine Ann Pirro’s continued love and admiration for educating the next generation of great thinkers. </w:t>
      </w:r>
    </w:p>
    <w:p w14:paraId="3E7FDF35" w14:textId="77777777" w:rsidR="000E3439" w:rsidRDefault="000E3439" w:rsidP="000E3439"/>
    <w:p w14:paraId="4AA2D68F" w14:textId="77777777" w:rsidR="000E3439" w:rsidRDefault="000E3439" w:rsidP="000E3439">
      <w:r>
        <w:t xml:space="preserve">Sincerely, </w:t>
      </w:r>
    </w:p>
    <w:p w14:paraId="640E11C6" w14:textId="77777777" w:rsidR="000E3439" w:rsidRDefault="000E3439" w:rsidP="000E3439">
      <w:r>
        <w:rPr>
          <w:noProof/>
        </w:rPr>
        <w:drawing>
          <wp:inline distT="0" distB="0" distL="0" distR="0" wp14:anchorId="6ED568FB" wp14:editId="0C2948FE">
            <wp:extent cx="1165257" cy="424420"/>
            <wp:effectExtent l="0" t="0" r="0" b="0"/>
            <wp:docPr id="728837053" name="Picture 3" descr="A close-up of a handwritten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37053" name="Picture 3" descr="A close-up of a handwritten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1770" cy="430434"/>
                    </a:xfrm>
                    <a:prstGeom prst="rect">
                      <a:avLst/>
                    </a:prstGeom>
                  </pic:spPr>
                </pic:pic>
              </a:graphicData>
            </a:graphic>
          </wp:inline>
        </w:drawing>
      </w:r>
    </w:p>
    <w:p w14:paraId="0ACCD35E" w14:textId="77777777" w:rsidR="000E3439" w:rsidRPr="00C51C8F" w:rsidRDefault="000E3439" w:rsidP="000E3439">
      <w:r>
        <w:t>Dr. Nicholas J. Pirro, Principal/ Editor of PyrrhicPress.Org</w:t>
      </w:r>
    </w:p>
    <w:p w14:paraId="1261D13D" w14:textId="77777777" w:rsidR="000E3439" w:rsidRPr="007B142B" w:rsidRDefault="000E3439" w:rsidP="007B142B">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heme="majorHAnsi" w:eastAsia="Times New Roman" w:hAnsiTheme="majorHAnsi" w:cs="Segoe UI"/>
          <w:bCs/>
          <w:color w:val="0D0D0D"/>
          <w:kern w:val="0"/>
          <w:sz w:val="24"/>
          <w:szCs w:val="24"/>
          <w14:ligatures w14:val="none"/>
        </w:rPr>
      </w:pPr>
    </w:p>
    <w:p w14:paraId="13D052E4" w14:textId="580A6E5D" w:rsidR="007B142B" w:rsidRPr="007B142B" w:rsidRDefault="00BB506C" w:rsidP="00BB506C">
      <w:pPr>
        <w:pBdr>
          <w:top w:val="single" w:sz="2" w:space="0" w:color="E3E3E3"/>
          <w:left w:val="single" w:sz="2" w:space="0" w:color="E3E3E3"/>
          <w:bottom w:val="single" w:sz="2" w:space="0" w:color="E3E3E3"/>
          <w:right w:val="single" w:sz="2" w:space="0" w:color="E3E3E3"/>
        </w:pBdr>
        <w:shd w:val="clear" w:color="auto" w:fill="FFFFFF"/>
        <w:spacing w:after="0" w:line="240" w:lineRule="auto"/>
        <w:jc w:val="center"/>
        <w:rPr>
          <w:rFonts w:asciiTheme="majorHAnsi" w:eastAsia="Times New Roman" w:hAnsiTheme="majorHAnsi" w:cs="Segoe UI"/>
          <w:b/>
          <w:color w:val="0D0D0D"/>
          <w:kern w:val="0"/>
          <w:sz w:val="24"/>
          <w:szCs w:val="24"/>
          <w14:ligatures w14:val="none"/>
        </w:rPr>
      </w:pPr>
      <w:r w:rsidRPr="00BB506C">
        <w:rPr>
          <w:rFonts w:asciiTheme="majorHAnsi" w:eastAsia="Times New Roman" w:hAnsiTheme="majorHAnsi" w:cs="Segoe UI"/>
          <w:b/>
          <w:color w:val="0D0D0D"/>
          <w:kern w:val="0"/>
          <w:sz w:val="24"/>
          <w:szCs w:val="24"/>
          <w:bdr w:val="single" w:sz="2" w:space="0" w:color="E3E3E3" w:frame="1"/>
          <w14:ligatures w14:val="none"/>
        </w:rPr>
        <w:t>www.</w:t>
      </w:r>
      <w:r w:rsidR="007B142B" w:rsidRPr="007B142B">
        <w:rPr>
          <w:rFonts w:asciiTheme="majorHAnsi" w:eastAsia="Times New Roman" w:hAnsiTheme="majorHAnsi" w:cs="Segoe UI"/>
          <w:b/>
          <w:color w:val="0D0D0D"/>
          <w:kern w:val="0"/>
          <w:sz w:val="24"/>
          <w:szCs w:val="24"/>
          <w:bdr w:val="single" w:sz="2" w:space="0" w:color="E3E3E3" w:frame="1"/>
          <w14:ligatures w14:val="none"/>
        </w:rPr>
        <w:t>Pyrrhicpress.Org</w:t>
      </w:r>
    </w:p>
    <w:p w14:paraId="7339EE1E" w14:textId="0CD1067B" w:rsidR="006C2DA1" w:rsidRPr="0009687E" w:rsidRDefault="006C2DA1" w:rsidP="00D2192B">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Times New Roman"/>
          <w:bCs/>
          <w:color w:val="0D0D0D"/>
          <w:kern w:val="0"/>
          <w:sz w:val="24"/>
          <w:szCs w:val="24"/>
          <w14:ligatures w14:val="none"/>
        </w:rPr>
      </w:pPr>
    </w:p>
    <w:p w14:paraId="0A6F1B27" w14:textId="2A382707" w:rsidR="00886009" w:rsidRDefault="00886009" w:rsidP="00886009">
      <w:pPr>
        <w:rPr>
          <w:rStyle w:val="Strong"/>
          <w:rFonts w:asciiTheme="majorHAnsi" w:hAnsiTheme="majorHAnsi"/>
          <w:b w:val="0"/>
          <w:sz w:val="24"/>
          <w:szCs w:val="24"/>
        </w:rPr>
      </w:pPr>
      <w:bookmarkStart w:id="12" w:name="_Hlk164275135"/>
      <w:bookmarkStart w:id="13" w:name="_Toc160892599"/>
      <w:bookmarkEnd w:id="12"/>
    </w:p>
    <w:p w14:paraId="53052FD5" w14:textId="77777777" w:rsidR="00BB506C" w:rsidRPr="0009687E" w:rsidRDefault="00BB506C" w:rsidP="00886009">
      <w:pPr>
        <w:rPr>
          <w:rStyle w:val="Strong"/>
          <w:rFonts w:asciiTheme="majorHAnsi" w:hAnsiTheme="majorHAnsi"/>
          <w:b w:val="0"/>
          <w:sz w:val="24"/>
          <w:szCs w:val="24"/>
        </w:rPr>
      </w:pPr>
    </w:p>
    <w:sdt>
      <w:sdtPr>
        <w:rPr>
          <w:rFonts w:asciiTheme="minorHAnsi" w:eastAsiaTheme="minorHAnsi" w:hAnsiTheme="minorHAnsi" w:cstheme="minorBidi"/>
          <w:b/>
          <w:bCs/>
          <w:color w:val="auto"/>
          <w:kern w:val="2"/>
          <w:sz w:val="24"/>
          <w:szCs w:val="24"/>
          <w14:ligatures w14:val="standardContextual"/>
        </w:rPr>
        <w:id w:val="797877781"/>
        <w:docPartObj>
          <w:docPartGallery w:val="Table of Contents"/>
          <w:docPartUnique/>
        </w:docPartObj>
      </w:sdtPr>
      <w:sdtEndPr>
        <w:rPr>
          <w:noProof/>
        </w:rPr>
      </w:sdtEndPr>
      <w:sdtContent>
        <w:p w14:paraId="63716655" w14:textId="3CA7F226" w:rsidR="00886009" w:rsidRPr="0009687E" w:rsidRDefault="00886009" w:rsidP="00886009">
          <w:pPr>
            <w:pStyle w:val="TOCHeading"/>
            <w:rPr>
              <w:rFonts w:eastAsiaTheme="minorHAnsi" w:cstheme="minorBidi"/>
              <w:bCs/>
              <w:color w:val="auto"/>
              <w:kern w:val="2"/>
              <w:sz w:val="24"/>
              <w:szCs w:val="24"/>
              <w14:ligatures w14:val="standardContextual"/>
            </w:rPr>
          </w:pPr>
          <w:r w:rsidRPr="0009687E">
            <w:rPr>
              <w:bCs/>
              <w:sz w:val="24"/>
              <w:szCs w:val="24"/>
            </w:rPr>
            <w:t>Contents</w:t>
          </w:r>
        </w:p>
        <w:p w14:paraId="030A6DCD" w14:textId="3A68883F" w:rsidR="00565EA8" w:rsidRDefault="00886009">
          <w:pPr>
            <w:pStyle w:val="TOC2"/>
            <w:rPr>
              <w:rFonts w:asciiTheme="minorHAnsi" w:eastAsiaTheme="minorEastAsia" w:hAnsiTheme="minorHAnsi" w:cstheme="minorBidi"/>
              <w:b w:val="0"/>
              <w:bCs w:val="0"/>
              <w:color w:val="auto"/>
              <w:sz w:val="24"/>
              <w:szCs w:val="24"/>
            </w:rPr>
          </w:pPr>
          <w:r w:rsidRPr="0009687E">
            <w:rPr>
              <w:noProof w:val="0"/>
            </w:rPr>
            <w:fldChar w:fldCharType="begin"/>
          </w:r>
          <w:r w:rsidRPr="0009687E">
            <w:instrText xml:space="preserve"> TOC \o "1-3" \h \z \u </w:instrText>
          </w:r>
          <w:r w:rsidRPr="0009687E">
            <w:rPr>
              <w:noProof w:val="0"/>
            </w:rPr>
            <w:fldChar w:fldCharType="separate"/>
          </w:r>
          <w:hyperlink w:anchor="_Toc168210335" w:history="1">
            <w:r w:rsidR="00565EA8">
              <w:rPr>
                <w:webHidden/>
              </w:rPr>
              <w:tab/>
            </w:r>
            <w:r w:rsidR="00565EA8">
              <w:rPr>
                <w:webHidden/>
              </w:rPr>
              <w:fldChar w:fldCharType="begin"/>
            </w:r>
            <w:r w:rsidR="00565EA8">
              <w:rPr>
                <w:webHidden/>
              </w:rPr>
              <w:instrText xml:space="preserve"> PAGEREF _Toc168210335 \h </w:instrText>
            </w:r>
            <w:r w:rsidR="00565EA8">
              <w:rPr>
                <w:webHidden/>
              </w:rPr>
            </w:r>
            <w:r w:rsidR="00565EA8">
              <w:rPr>
                <w:webHidden/>
              </w:rPr>
              <w:fldChar w:fldCharType="separate"/>
            </w:r>
            <w:r w:rsidR="00565EA8">
              <w:rPr>
                <w:webHidden/>
              </w:rPr>
              <w:t>2</w:t>
            </w:r>
            <w:r w:rsidR="00565EA8">
              <w:rPr>
                <w:webHidden/>
              </w:rPr>
              <w:fldChar w:fldCharType="end"/>
            </w:r>
          </w:hyperlink>
        </w:p>
        <w:p w14:paraId="4223009A" w14:textId="3E4E828F" w:rsidR="00565EA8" w:rsidRDefault="001D5681">
          <w:pPr>
            <w:pStyle w:val="TOC2"/>
            <w:rPr>
              <w:rFonts w:asciiTheme="minorHAnsi" w:eastAsiaTheme="minorEastAsia" w:hAnsiTheme="minorHAnsi" w:cstheme="minorBidi"/>
              <w:b w:val="0"/>
              <w:bCs w:val="0"/>
              <w:color w:val="auto"/>
              <w:sz w:val="24"/>
              <w:szCs w:val="24"/>
            </w:rPr>
          </w:pPr>
          <w:hyperlink w:anchor="_Toc168210336" w:history="1">
            <w:r w:rsidR="00565EA8" w:rsidRPr="00D67348">
              <w:rPr>
                <w:rStyle w:val="Hyperlink"/>
              </w:rPr>
              <w:t>Editorial Introduction</w:t>
            </w:r>
            <w:r w:rsidR="00565EA8">
              <w:rPr>
                <w:webHidden/>
              </w:rPr>
              <w:tab/>
            </w:r>
            <w:r w:rsidR="00565EA8">
              <w:rPr>
                <w:webHidden/>
              </w:rPr>
              <w:fldChar w:fldCharType="begin"/>
            </w:r>
            <w:r w:rsidR="00565EA8">
              <w:rPr>
                <w:webHidden/>
              </w:rPr>
              <w:instrText xml:space="preserve"> PAGEREF _Toc168210336 \h </w:instrText>
            </w:r>
            <w:r w:rsidR="00565EA8">
              <w:rPr>
                <w:webHidden/>
              </w:rPr>
            </w:r>
            <w:r w:rsidR="00565EA8">
              <w:rPr>
                <w:webHidden/>
              </w:rPr>
              <w:fldChar w:fldCharType="separate"/>
            </w:r>
            <w:r w:rsidR="00565EA8">
              <w:rPr>
                <w:webHidden/>
              </w:rPr>
              <w:t>2</w:t>
            </w:r>
            <w:r w:rsidR="00565EA8">
              <w:rPr>
                <w:webHidden/>
              </w:rPr>
              <w:fldChar w:fldCharType="end"/>
            </w:r>
          </w:hyperlink>
        </w:p>
        <w:p w14:paraId="53DAF774" w14:textId="6ABBCB97" w:rsidR="00565EA8" w:rsidRDefault="001D5681">
          <w:pPr>
            <w:pStyle w:val="TOC3"/>
            <w:tabs>
              <w:tab w:val="right" w:leader="dot" w:pos="9350"/>
            </w:tabs>
            <w:rPr>
              <w:rFonts w:cstheme="minorBidi"/>
              <w:noProof/>
              <w:kern w:val="2"/>
              <w:sz w:val="24"/>
              <w:szCs w:val="24"/>
              <w14:ligatures w14:val="standardContextual"/>
            </w:rPr>
          </w:pPr>
          <w:hyperlink w:anchor="_Toc168210337" w:history="1">
            <w:r w:rsidR="00565EA8" w:rsidRPr="00D67348">
              <w:rPr>
                <w:rStyle w:val="Hyperlink"/>
                <w:rFonts w:asciiTheme="majorHAnsi" w:eastAsia="Times New Roman" w:hAnsiTheme="majorHAnsi" w:cs="Segoe UI"/>
                <w:bCs/>
                <w:noProof/>
              </w:rPr>
              <w:t>Welcome to Issue #4 of the Professionals in Business Journal</w:t>
            </w:r>
            <w:r w:rsidR="00565EA8">
              <w:rPr>
                <w:noProof/>
                <w:webHidden/>
              </w:rPr>
              <w:tab/>
            </w:r>
            <w:r w:rsidR="00565EA8">
              <w:rPr>
                <w:noProof/>
                <w:webHidden/>
              </w:rPr>
              <w:fldChar w:fldCharType="begin"/>
            </w:r>
            <w:r w:rsidR="00565EA8">
              <w:rPr>
                <w:noProof/>
                <w:webHidden/>
              </w:rPr>
              <w:instrText xml:space="preserve"> PAGEREF _Toc168210337 \h </w:instrText>
            </w:r>
            <w:r w:rsidR="00565EA8">
              <w:rPr>
                <w:noProof/>
                <w:webHidden/>
              </w:rPr>
            </w:r>
            <w:r w:rsidR="00565EA8">
              <w:rPr>
                <w:noProof/>
                <w:webHidden/>
              </w:rPr>
              <w:fldChar w:fldCharType="separate"/>
            </w:r>
            <w:r w:rsidR="00565EA8">
              <w:rPr>
                <w:noProof/>
                <w:webHidden/>
              </w:rPr>
              <w:t>2</w:t>
            </w:r>
            <w:r w:rsidR="00565EA8">
              <w:rPr>
                <w:noProof/>
                <w:webHidden/>
              </w:rPr>
              <w:fldChar w:fldCharType="end"/>
            </w:r>
          </w:hyperlink>
        </w:p>
        <w:p w14:paraId="1253F004" w14:textId="25918FA5" w:rsidR="00565EA8" w:rsidRDefault="001D5681">
          <w:pPr>
            <w:pStyle w:val="TOC3"/>
            <w:tabs>
              <w:tab w:val="right" w:leader="dot" w:pos="9350"/>
            </w:tabs>
            <w:rPr>
              <w:rFonts w:cstheme="minorBidi"/>
              <w:noProof/>
              <w:kern w:val="2"/>
              <w:sz w:val="24"/>
              <w:szCs w:val="24"/>
              <w14:ligatures w14:val="standardContextual"/>
            </w:rPr>
          </w:pPr>
          <w:hyperlink w:anchor="_Toc168210338" w:history="1">
            <w:r w:rsidR="00565EA8" w:rsidRPr="00D67348">
              <w:rPr>
                <w:rStyle w:val="Hyperlink"/>
                <w:rFonts w:asciiTheme="majorHAnsi" w:eastAsia="Times New Roman" w:hAnsiTheme="majorHAnsi" w:cs="Segoe UI"/>
                <w:bCs/>
                <w:noProof/>
              </w:rPr>
              <w:t>Our Commitment</w:t>
            </w:r>
            <w:r w:rsidR="00565EA8">
              <w:rPr>
                <w:noProof/>
                <w:webHidden/>
              </w:rPr>
              <w:tab/>
            </w:r>
            <w:r w:rsidR="00565EA8">
              <w:rPr>
                <w:noProof/>
                <w:webHidden/>
              </w:rPr>
              <w:fldChar w:fldCharType="begin"/>
            </w:r>
            <w:r w:rsidR="00565EA8">
              <w:rPr>
                <w:noProof/>
                <w:webHidden/>
              </w:rPr>
              <w:instrText xml:space="preserve"> PAGEREF _Toc168210338 \h </w:instrText>
            </w:r>
            <w:r w:rsidR="00565EA8">
              <w:rPr>
                <w:noProof/>
                <w:webHidden/>
              </w:rPr>
            </w:r>
            <w:r w:rsidR="00565EA8">
              <w:rPr>
                <w:noProof/>
                <w:webHidden/>
              </w:rPr>
              <w:fldChar w:fldCharType="separate"/>
            </w:r>
            <w:r w:rsidR="00565EA8">
              <w:rPr>
                <w:noProof/>
                <w:webHidden/>
              </w:rPr>
              <w:t>2</w:t>
            </w:r>
            <w:r w:rsidR="00565EA8">
              <w:rPr>
                <w:noProof/>
                <w:webHidden/>
              </w:rPr>
              <w:fldChar w:fldCharType="end"/>
            </w:r>
          </w:hyperlink>
        </w:p>
        <w:p w14:paraId="392B78E2" w14:textId="2EB3E40B" w:rsidR="00565EA8" w:rsidRDefault="001D5681">
          <w:pPr>
            <w:pStyle w:val="TOC3"/>
            <w:tabs>
              <w:tab w:val="right" w:leader="dot" w:pos="9350"/>
            </w:tabs>
            <w:rPr>
              <w:rFonts w:cstheme="minorBidi"/>
              <w:noProof/>
              <w:kern w:val="2"/>
              <w:sz w:val="24"/>
              <w:szCs w:val="24"/>
              <w14:ligatures w14:val="standardContextual"/>
            </w:rPr>
          </w:pPr>
          <w:hyperlink w:anchor="_Toc168210339" w:history="1">
            <w:r w:rsidR="00565EA8" w:rsidRPr="00D67348">
              <w:rPr>
                <w:rStyle w:val="Hyperlink"/>
                <w:rFonts w:asciiTheme="majorHAnsi" w:eastAsia="Times New Roman" w:hAnsiTheme="majorHAnsi" w:cs="Segoe UI"/>
                <w:bCs/>
                <w:noProof/>
              </w:rPr>
              <w:t>Gratitude</w:t>
            </w:r>
            <w:r w:rsidR="00565EA8">
              <w:rPr>
                <w:noProof/>
                <w:webHidden/>
              </w:rPr>
              <w:tab/>
            </w:r>
            <w:r w:rsidR="00565EA8">
              <w:rPr>
                <w:noProof/>
                <w:webHidden/>
              </w:rPr>
              <w:fldChar w:fldCharType="begin"/>
            </w:r>
            <w:r w:rsidR="00565EA8">
              <w:rPr>
                <w:noProof/>
                <w:webHidden/>
              </w:rPr>
              <w:instrText xml:space="preserve"> PAGEREF _Toc168210339 \h </w:instrText>
            </w:r>
            <w:r w:rsidR="00565EA8">
              <w:rPr>
                <w:noProof/>
                <w:webHidden/>
              </w:rPr>
            </w:r>
            <w:r w:rsidR="00565EA8">
              <w:rPr>
                <w:noProof/>
                <w:webHidden/>
              </w:rPr>
              <w:fldChar w:fldCharType="separate"/>
            </w:r>
            <w:r w:rsidR="00565EA8">
              <w:rPr>
                <w:noProof/>
                <w:webHidden/>
              </w:rPr>
              <w:t>2</w:t>
            </w:r>
            <w:r w:rsidR="00565EA8">
              <w:rPr>
                <w:noProof/>
                <w:webHidden/>
              </w:rPr>
              <w:fldChar w:fldCharType="end"/>
            </w:r>
          </w:hyperlink>
        </w:p>
        <w:p w14:paraId="53C94F1E" w14:textId="28D238F9" w:rsidR="00565EA8" w:rsidRDefault="001D5681">
          <w:pPr>
            <w:pStyle w:val="TOC3"/>
            <w:tabs>
              <w:tab w:val="right" w:leader="dot" w:pos="9350"/>
            </w:tabs>
            <w:rPr>
              <w:rFonts w:cstheme="minorBidi"/>
              <w:noProof/>
              <w:kern w:val="2"/>
              <w:sz w:val="24"/>
              <w:szCs w:val="24"/>
              <w14:ligatures w14:val="standardContextual"/>
            </w:rPr>
          </w:pPr>
          <w:hyperlink w:anchor="_Toc168210340" w:history="1">
            <w:r w:rsidR="00565EA8" w:rsidRPr="00D67348">
              <w:rPr>
                <w:rStyle w:val="Hyperlink"/>
                <w:rFonts w:asciiTheme="majorHAnsi" w:eastAsia="Times New Roman" w:hAnsiTheme="majorHAnsi"/>
                <w:noProof/>
              </w:rPr>
              <w:t>LAPPSE</w:t>
            </w:r>
            <w:r w:rsidR="00565EA8">
              <w:rPr>
                <w:noProof/>
                <w:webHidden/>
              </w:rPr>
              <w:tab/>
            </w:r>
            <w:r w:rsidR="00565EA8">
              <w:rPr>
                <w:noProof/>
                <w:webHidden/>
              </w:rPr>
              <w:fldChar w:fldCharType="begin"/>
            </w:r>
            <w:r w:rsidR="00565EA8">
              <w:rPr>
                <w:noProof/>
                <w:webHidden/>
              </w:rPr>
              <w:instrText xml:space="preserve"> PAGEREF _Toc168210340 \h </w:instrText>
            </w:r>
            <w:r w:rsidR="00565EA8">
              <w:rPr>
                <w:noProof/>
                <w:webHidden/>
              </w:rPr>
            </w:r>
            <w:r w:rsidR="00565EA8">
              <w:rPr>
                <w:noProof/>
                <w:webHidden/>
              </w:rPr>
              <w:fldChar w:fldCharType="separate"/>
            </w:r>
            <w:r w:rsidR="00565EA8">
              <w:rPr>
                <w:noProof/>
                <w:webHidden/>
              </w:rPr>
              <w:t>2</w:t>
            </w:r>
            <w:r w:rsidR="00565EA8">
              <w:rPr>
                <w:noProof/>
                <w:webHidden/>
              </w:rPr>
              <w:fldChar w:fldCharType="end"/>
            </w:r>
          </w:hyperlink>
        </w:p>
        <w:p w14:paraId="6CED03A5" w14:textId="74FF45C8"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41" w:history="1">
            <w:r w:rsidR="00565EA8" w:rsidRPr="00D67348">
              <w:rPr>
                <w:rStyle w:val="Hyperlink"/>
                <w:b/>
              </w:rPr>
              <w:t>UNIVERSAL RESILIENCE THEORY</w:t>
            </w:r>
            <w:r w:rsidR="00565EA8">
              <w:rPr>
                <w:webHidden/>
              </w:rPr>
              <w:tab/>
            </w:r>
            <w:r w:rsidR="00565EA8">
              <w:rPr>
                <w:webHidden/>
              </w:rPr>
              <w:fldChar w:fldCharType="begin"/>
            </w:r>
            <w:r w:rsidR="00565EA8">
              <w:rPr>
                <w:webHidden/>
              </w:rPr>
              <w:instrText xml:space="preserve"> PAGEREF _Toc168210341 \h </w:instrText>
            </w:r>
            <w:r w:rsidR="00565EA8">
              <w:rPr>
                <w:webHidden/>
              </w:rPr>
            </w:r>
            <w:r w:rsidR="00565EA8">
              <w:rPr>
                <w:webHidden/>
              </w:rPr>
              <w:fldChar w:fldCharType="separate"/>
            </w:r>
            <w:r w:rsidR="00565EA8">
              <w:rPr>
                <w:webHidden/>
              </w:rPr>
              <w:t>7</w:t>
            </w:r>
            <w:r w:rsidR="00565EA8">
              <w:rPr>
                <w:webHidden/>
              </w:rPr>
              <w:fldChar w:fldCharType="end"/>
            </w:r>
          </w:hyperlink>
        </w:p>
        <w:p w14:paraId="5BB1B14C" w14:textId="2620A3E1"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42" w:history="1">
            <w:r w:rsidR="00565EA8" w:rsidRPr="00D67348">
              <w:rPr>
                <w:rStyle w:val="Hyperlink"/>
                <w:bCs/>
              </w:rPr>
              <w:t xml:space="preserve">  Abstract:</w:t>
            </w:r>
            <w:r w:rsidR="00565EA8">
              <w:rPr>
                <w:webHidden/>
              </w:rPr>
              <w:tab/>
            </w:r>
            <w:r w:rsidR="00565EA8">
              <w:rPr>
                <w:webHidden/>
              </w:rPr>
              <w:fldChar w:fldCharType="begin"/>
            </w:r>
            <w:r w:rsidR="00565EA8">
              <w:rPr>
                <w:webHidden/>
              </w:rPr>
              <w:instrText xml:space="preserve"> PAGEREF _Toc168210342 \h </w:instrText>
            </w:r>
            <w:r w:rsidR="00565EA8">
              <w:rPr>
                <w:webHidden/>
              </w:rPr>
            </w:r>
            <w:r w:rsidR="00565EA8">
              <w:rPr>
                <w:webHidden/>
              </w:rPr>
              <w:fldChar w:fldCharType="separate"/>
            </w:r>
            <w:r w:rsidR="00565EA8">
              <w:rPr>
                <w:webHidden/>
              </w:rPr>
              <w:t>7</w:t>
            </w:r>
            <w:r w:rsidR="00565EA8">
              <w:rPr>
                <w:webHidden/>
              </w:rPr>
              <w:fldChar w:fldCharType="end"/>
            </w:r>
          </w:hyperlink>
        </w:p>
        <w:p w14:paraId="4AEBA13A" w14:textId="085163ED"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43" w:history="1">
            <w:r w:rsidR="00565EA8" w:rsidRPr="00D67348">
              <w:rPr>
                <w:rStyle w:val="Hyperlink"/>
                <w:bCs/>
              </w:rPr>
              <w:t>Hypothesis:</w:t>
            </w:r>
            <w:r w:rsidR="00565EA8">
              <w:rPr>
                <w:webHidden/>
              </w:rPr>
              <w:tab/>
            </w:r>
            <w:r w:rsidR="00565EA8">
              <w:rPr>
                <w:webHidden/>
              </w:rPr>
              <w:fldChar w:fldCharType="begin"/>
            </w:r>
            <w:r w:rsidR="00565EA8">
              <w:rPr>
                <w:webHidden/>
              </w:rPr>
              <w:instrText xml:space="preserve"> PAGEREF _Toc168210343 \h </w:instrText>
            </w:r>
            <w:r w:rsidR="00565EA8">
              <w:rPr>
                <w:webHidden/>
              </w:rPr>
            </w:r>
            <w:r w:rsidR="00565EA8">
              <w:rPr>
                <w:webHidden/>
              </w:rPr>
              <w:fldChar w:fldCharType="separate"/>
            </w:r>
            <w:r w:rsidR="00565EA8">
              <w:rPr>
                <w:webHidden/>
              </w:rPr>
              <w:t>8</w:t>
            </w:r>
            <w:r w:rsidR="00565EA8">
              <w:rPr>
                <w:webHidden/>
              </w:rPr>
              <w:fldChar w:fldCharType="end"/>
            </w:r>
          </w:hyperlink>
        </w:p>
        <w:p w14:paraId="4C950822" w14:textId="1C590B66"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44" w:history="1">
            <w:r w:rsidR="00565EA8" w:rsidRPr="00D67348">
              <w:rPr>
                <w:rStyle w:val="Hyperlink"/>
                <w:bCs/>
                <w:bdr w:val="single" w:sz="2" w:space="0" w:color="E3E3E3" w:frame="1"/>
              </w:rPr>
              <w:t>Core Tenets</w:t>
            </w:r>
            <w:r w:rsidR="00565EA8">
              <w:rPr>
                <w:webHidden/>
              </w:rPr>
              <w:tab/>
            </w:r>
            <w:r w:rsidR="00565EA8">
              <w:rPr>
                <w:webHidden/>
              </w:rPr>
              <w:fldChar w:fldCharType="begin"/>
            </w:r>
            <w:r w:rsidR="00565EA8">
              <w:rPr>
                <w:webHidden/>
              </w:rPr>
              <w:instrText xml:space="preserve"> PAGEREF _Toc168210344 \h </w:instrText>
            </w:r>
            <w:r w:rsidR="00565EA8">
              <w:rPr>
                <w:webHidden/>
              </w:rPr>
            </w:r>
            <w:r w:rsidR="00565EA8">
              <w:rPr>
                <w:webHidden/>
              </w:rPr>
              <w:fldChar w:fldCharType="separate"/>
            </w:r>
            <w:r w:rsidR="00565EA8">
              <w:rPr>
                <w:webHidden/>
              </w:rPr>
              <w:t>9</w:t>
            </w:r>
            <w:r w:rsidR="00565EA8">
              <w:rPr>
                <w:webHidden/>
              </w:rPr>
              <w:fldChar w:fldCharType="end"/>
            </w:r>
          </w:hyperlink>
        </w:p>
        <w:p w14:paraId="0C65E6EF" w14:textId="52B06011"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45" w:history="1">
            <w:r w:rsidR="00565EA8" w:rsidRPr="00D67348">
              <w:rPr>
                <w:rStyle w:val="Hyperlink"/>
                <w:rFonts w:cs="Segoe UI"/>
                <w:bCs/>
                <w:bdr w:val="single" w:sz="2" w:space="0" w:color="E3E3E3" w:frame="1"/>
              </w:rPr>
              <w:t>Adaptive Response to Adversity:</w:t>
            </w:r>
            <w:r w:rsidR="00565EA8">
              <w:rPr>
                <w:webHidden/>
              </w:rPr>
              <w:tab/>
            </w:r>
            <w:r w:rsidR="00565EA8">
              <w:rPr>
                <w:webHidden/>
              </w:rPr>
              <w:fldChar w:fldCharType="begin"/>
            </w:r>
            <w:r w:rsidR="00565EA8">
              <w:rPr>
                <w:webHidden/>
              </w:rPr>
              <w:instrText xml:space="preserve"> PAGEREF _Toc168210345 \h </w:instrText>
            </w:r>
            <w:r w:rsidR="00565EA8">
              <w:rPr>
                <w:webHidden/>
              </w:rPr>
            </w:r>
            <w:r w:rsidR="00565EA8">
              <w:rPr>
                <w:webHidden/>
              </w:rPr>
              <w:fldChar w:fldCharType="separate"/>
            </w:r>
            <w:r w:rsidR="00565EA8">
              <w:rPr>
                <w:webHidden/>
              </w:rPr>
              <w:t>9</w:t>
            </w:r>
            <w:r w:rsidR="00565EA8">
              <w:rPr>
                <w:webHidden/>
              </w:rPr>
              <w:fldChar w:fldCharType="end"/>
            </w:r>
          </w:hyperlink>
        </w:p>
        <w:p w14:paraId="3C59057D" w14:textId="7AA0CA95"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46" w:history="1">
            <w:r w:rsidR="00565EA8" w:rsidRPr="00D67348">
              <w:rPr>
                <w:rStyle w:val="Hyperlink"/>
                <w:rFonts w:cs="Segoe UI"/>
                <w:bCs/>
                <w:bdr w:val="single" w:sz="2" w:space="0" w:color="E3E3E3" w:frame="1"/>
              </w:rPr>
              <w:t>Dynamic Interplay of Factors:</w:t>
            </w:r>
            <w:r w:rsidR="00565EA8">
              <w:rPr>
                <w:webHidden/>
              </w:rPr>
              <w:tab/>
            </w:r>
            <w:r w:rsidR="00565EA8">
              <w:rPr>
                <w:webHidden/>
              </w:rPr>
              <w:fldChar w:fldCharType="begin"/>
            </w:r>
            <w:r w:rsidR="00565EA8">
              <w:rPr>
                <w:webHidden/>
              </w:rPr>
              <w:instrText xml:space="preserve"> PAGEREF _Toc168210346 \h </w:instrText>
            </w:r>
            <w:r w:rsidR="00565EA8">
              <w:rPr>
                <w:webHidden/>
              </w:rPr>
            </w:r>
            <w:r w:rsidR="00565EA8">
              <w:rPr>
                <w:webHidden/>
              </w:rPr>
              <w:fldChar w:fldCharType="separate"/>
            </w:r>
            <w:r w:rsidR="00565EA8">
              <w:rPr>
                <w:webHidden/>
              </w:rPr>
              <w:t>10</w:t>
            </w:r>
            <w:r w:rsidR="00565EA8">
              <w:rPr>
                <w:webHidden/>
              </w:rPr>
              <w:fldChar w:fldCharType="end"/>
            </w:r>
          </w:hyperlink>
        </w:p>
        <w:p w14:paraId="3E345BC2" w14:textId="65D96E74"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47" w:history="1">
            <w:r w:rsidR="00565EA8" w:rsidRPr="00D67348">
              <w:rPr>
                <w:rStyle w:val="Hyperlink"/>
                <w:rFonts w:cs="Segoe UI"/>
                <w:bCs/>
                <w:bdr w:val="single" w:sz="2" w:space="0" w:color="E3E3E3" w:frame="1"/>
              </w:rPr>
              <w:t>Continuous Process of Development:</w:t>
            </w:r>
            <w:r w:rsidR="00565EA8">
              <w:rPr>
                <w:webHidden/>
              </w:rPr>
              <w:tab/>
            </w:r>
            <w:r w:rsidR="00565EA8">
              <w:rPr>
                <w:webHidden/>
              </w:rPr>
              <w:fldChar w:fldCharType="begin"/>
            </w:r>
            <w:r w:rsidR="00565EA8">
              <w:rPr>
                <w:webHidden/>
              </w:rPr>
              <w:instrText xml:space="preserve"> PAGEREF _Toc168210347 \h </w:instrText>
            </w:r>
            <w:r w:rsidR="00565EA8">
              <w:rPr>
                <w:webHidden/>
              </w:rPr>
            </w:r>
            <w:r w:rsidR="00565EA8">
              <w:rPr>
                <w:webHidden/>
              </w:rPr>
              <w:fldChar w:fldCharType="separate"/>
            </w:r>
            <w:r w:rsidR="00565EA8">
              <w:rPr>
                <w:webHidden/>
              </w:rPr>
              <w:t>10</w:t>
            </w:r>
            <w:r w:rsidR="00565EA8">
              <w:rPr>
                <w:webHidden/>
              </w:rPr>
              <w:fldChar w:fldCharType="end"/>
            </w:r>
          </w:hyperlink>
        </w:p>
        <w:p w14:paraId="79B10906" w14:textId="04194220"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48" w:history="1">
            <w:r w:rsidR="00565EA8" w:rsidRPr="00D67348">
              <w:rPr>
                <w:rStyle w:val="Hyperlink"/>
                <w:bCs/>
                <w:bdr w:val="single" w:sz="2" w:space="0" w:color="E3E3E3" w:frame="1"/>
              </w:rPr>
              <w:t>Key Components</w:t>
            </w:r>
            <w:r w:rsidR="00565EA8">
              <w:rPr>
                <w:webHidden/>
              </w:rPr>
              <w:tab/>
            </w:r>
            <w:r w:rsidR="00565EA8">
              <w:rPr>
                <w:webHidden/>
              </w:rPr>
              <w:fldChar w:fldCharType="begin"/>
            </w:r>
            <w:r w:rsidR="00565EA8">
              <w:rPr>
                <w:webHidden/>
              </w:rPr>
              <w:instrText xml:space="preserve"> PAGEREF _Toc168210348 \h </w:instrText>
            </w:r>
            <w:r w:rsidR="00565EA8">
              <w:rPr>
                <w:webHidden/>
              </w:rPr>
            </w:r>
            <w:r w:rsidR="00565EA8">
              <w:rPr>
                <w:webHidden/>
              </w:rPr>
              <w:fldChar w:fldCharType="separate"/>
            </w:r>
            <w:r w:rsidR="00565EA8">
              <w:rPr>
                <w:webHidden/>
              </w:rPr>
              <w:t>11</w:t>
            </w:r>
            <w:r w:rsidR="00565EA8">
              <w:rPr>
                <w:webHidden/>
              </w:rPr>
              <w:fldChar w:fldCharType="end"/>
            </w:r>
          </w:hyperlink>
        </w:p>
        <w:p w14:paraId="17B42C6F" w14:textId="2298A5DB" w:rsidR="00565EA8" w:rsidRDefault="001D5681">
          <w:pPr>
            <w:pStyle w:val="TOC2"/>
            <w:rPr>
              <w:rFonts w:asciiTheme="minorHAnsi" w:eastAsiaTheme="minorEastAsia" w:hAnsiTheme="minorHAnsi" w:cstheme="minorBidi"/>
              <w:b w:val="0"/>
              <w:bCs w:val="0"/>
              <w:color w:val="auto"/>
              <w:sz w:val="24"/>
              <w:szCs w:val="24"/>
            </w:rPr>
          </w:pPr>
          <w:hyperlink w:anchor="_Toc168210349" w:history="1">
            <w:r w:rsidR="00565EA8" w:rsidRPr="00D67348">
              <w:rPr>
                <w:rStyle w:val="Hyperlink"/>
                <w:bdr w:val="single" w:sz="2" w:space="0" w:color="E3E3E3" w:frame="1"/>
              </w:rPr>
              <w:t>Implications and Applications</w:t>
            </w:r>
            <w:r w:rsidR="00565EA8">
              <w:rPr>
                <w:webHidden/>
              </w:rPr>
              <w:tab/>
            </w:r>
            <w:r w:rsidR="00565EA8">
              <w:rPr>
                <w:webHidden/>
              </w:rPr>
              <w:fldChar w:fldCharType="begin"/>
            </w:r>
            <w:r w:rsidR="00565EA8">
              <w:rPr>
                <w:webHidden/>
              </w:rPr>
              <w:instrText xml:space="preserve"> PAGEREF _Toc168210349 \h </w:instrText>
            </w:r>
            <w:r w:rsidR="00565EA8">
              <w:rPr>
                <w:webHidden/>
              </w:rPr>
            </w:r>
            <w:r w:rsidR="00565EA8">
              <w:rPr>
                <w:webHidden/>
              </w:rPr>
              <w:fldChar w:fldCharType="separate"/>
            </w:r>
            <w:r w:rsidR="00565EA8">
              <w:rPr>
                <w:webHidden/>
              </w:rPr>
              <w:t>14</w:t>
            </w:r>
            <w:r w:rsidR="00565EA8">
              <w:rPr>
                <w:webHidden/>
              </w:rPr>
              <w:fldChar w:fldCharType="end"/>
            </w:r>
          </w:hyperlink>
        </w:p>
        <w:p w14:paraId="76195E89" w14:textId="351990C2" w:rsidR="00565EA8" w:rsidRDefault="001D5681">
          <w:pPr>
            <w:pStyle w:val="TOC3"/>
            <w:tabs>
              <w:tab w:val="right" w:leader="dot" w:pos="9350"/>
            </w:tabs>
            <w:rPr>
              <w:rFonts w:cstheme="minorBidi"/>
              <w:noProof/>
              <w:kern w:val="2"/>
              <w:sz w:val="24"/>
              <w:szCs w:val="24"/>
              <w14:ligatures w14:val="standardContextual"/>
            </w:rPr>
          </w:pPr>
          <w:hyperlink w:anchor="_Toc168210350" w:history="1">
            <w:r w:rsidR="00565EA8" w:rsidRPr="00D67348">
              <w:rPr>
                <w:rStyle w:val="Hyperlink"/>
                <w:rFonts w:asciiTheme="majorHAnsi" w:eastAsia="Times New Roman" w:hAnsiTheme="majorHAnsi"/>
                <w:bCs/>
                <w:noProof/>
                <w:bdr w:val="single" w:sz="2" w:space="0" w:color="E3E3E3" w:frame="1"/>
              </w:rPr>
              <w:t>Promoting Resilience</w:t>
            </w:r>
            <w:r w:rsidR="00565EA8" w:rsidRPr="00D67348">
              <w:rPr>
                <w:rStyle w:val="Hyperlink"/>
                <w:rFonts w:asciiTheme="majorHAnsi" w:eastAsia="Times New Roman" w:hAnsiTheme="majorHAnsi"/>
                <w:bCs/>
                <w:noProof/>
              </w:rPr>
              <w:t>:</w:t>
            </w:r>
            <w:r w:rsidR="00565EA8">
              <w:rPr>
                <w:noProof/>
                <w:webHidden/>
              </w:rPr>
              <w:tab/>
            </w:r>
            <w:r w:rsidR="00565EA8">
              <w:rPr>
                <w:noProof/>
                <w:webHidden/>
              </w:rPr>
              <w:fldChar w:fldCharType="begin"/>
            </w:r>
            <w:r w:rsidR="00565EA8">
              <w:rPr>
                <w:noProof/>
                <w:webHidden/>
              </w:rPr>
              <w:instrText xml:space="preserve"> PAGEREF _Toc168210350 \h </w:instrText>
            </w:r>
            <w:r w:rsidR="00565EA8">
              <w:rPr>
                <w:noProof/>
                <w:webHidden/>
              </w:rPr>
            </w:r>
            <w:r w:rsidR="00565EA8">
              <w:rPr>
                <w:noProof/>
                <w:webHidden/>
              </w:rPr>
              <w:fldChar w:fldCharType="separate"/>
            </w:r>
            <w:r w:rsidR="00565EA8">
              <w:rPr>
                <w:noProof/>
                <w:webHidden/>
              </w:rPr>
              <w:t>14</w:t>
            </w:r>
            <w:r w:rsidR="00565EA8">
              <w:rPr>
                <w:noProof/>
                <w:webHidden/>
              </w:rPr>
              <w:fldChar w:fldCharType="end"/>
            </w:r>
          </w:hyperlink>
        </w:p>
        <w:p w14:paraId="464CA129" w14:textId="322B27B2" w:rsidR="00565EA8" w:rsidRDefault="001D5681">
          <w:pPr>
            <w:pStyle w:val="TOC3"/>
            <w:tabs>
              <w:tab w:val="right" w:leader="dot" w:pos="9350"/>
            </w:tabs>
            <w:rPr>
              <w:rFonts w:cstheme="minorBidi"/>
              <w:noProof/>
              <w:kern w:val="2"/>
              <w:sz w:val="24"/>
              <w:szCs w:val="24"/>
              <w14:ligatures w14:val="standardContextual"/>
            </w:rPr>
          </w:pPr>
          <w:hyperlink w:anchor="_Toc168210351" w:history="1">
            <w:r w:rsidR="00565EA8" w:rsidRPr="00D67348">
              <w:rPr>
                <w:rStyle w:val="Hyperlink"/>
                <w:rFonts w:asciiTheme="majorHAnsi" w:eastAsia="Times New Roman" w:hAnsiTheme="majorHAnsi"/>
                <w:bCs/>
                <w:noProof/>
                <w:bdr w:val="single" w:sz="2" w:space="0" w:color="E3E3E3" w:frame="1"/>
              </w:rPr>
              <w:t>Cultivating Resilience Mindset</w:t>
            </w:r>
            <w:r w:rsidR="00565EA8" w:rsidRPr="00D67348">
              <w:rPr>
                <w:rStyle w:val="Hyperlink"/>
                <w:rFonts w:asciiTheme="majorHAnsi" w:eastAsia="Times New Roman" w:hAnsiTheme="majorHAnsi"/>
                <w:bCs/>
                <w:noProof/>
              </w:rPr>
              <w:t>:</w:t>
            </w:r>
            <w:r w:rsidR="00565EA8">
              <w:rPr>
                <w:noProof/>
                <w:webHidden/>
              </w:rPr>
              <w:tab/>
            </w:r>
            <w:r w:rsidR="00565EA8">
              <w:rPr>
                <w:noProof/>
                <w:webHidden/>
              </w:rPr>
              <w:fldChar w:fldCharType="begin"/>
            </w:r>
            <w:r w:rsidR="00565EA8">
              <w:rPr>
                <w:noProof/>
                <w:webHidden/>
              </w:rPr>
              <w:instrText xml:space="preserve"> PAGEREF _Toc168210351 \h </w:instrText>
            </w:r>
            <w:r w:rsidR="00565EA8">
              <w:rPr>
                <w:noProof/>
                <w:webHidden/>
              </w:rPr>
            </w:r>
            <w:r w:rsidR="00565EA8">
              <w:rPr>
                <w:noProof/>
                <w:webHidden/>
              </w:rPr>
              <w:fldChar w:fldCharType="separate"/>
            </w:r>
            <w:r w:rsidR="00565EA8">
              <w:rPr>
                <w:noProof/>
                <w:webHidden/>
              </w:rPr>
              <w:t>16</w:t>
            </w:r>
            <w:r w:rsidR="00565EA8">
              <w:rPr>
                <w:noProof/>
                <w:webHidden/>
              </w:rPr>
              <w:fldChar w:fldCharType="end"/>
            </w:r>
          </w:hyperlink>
        </w:p>
        <w:p w14:paraId="04CF713F" w14:textId="2BFBB6D8" w:rsidR="00565EA8" w:rsidRDefault="001D5681">
          <w:pPr>
            <w:pStyle w:val="TOC2"/>
            <w:rPr>
              <w:rFonts w:asciiTheme="minorHAnsi" w:eastAsiaTheme="minorEastAsia" w:hAnsiTheme="minorHAnsi" w:cstheme="minorBidi"/>
              <w:b w:val="0"/>
              <w:bCs w:val="0"/>
              <w:color w:val="auto"/>
              <w:sz w:val="24"/>
              <w:szCs w:val="24"/>
            </w:rPr>
          </w:pPr>
          <w:hyperlink w:anchor="_Toc168210352" w:history="1">
            <w:r w:rsidR="00565EA8" w:rsidRPr="00D67348">
              <w:rPr>
                <w:rStyle w:val="Hyperlink"/>
                <w:bdr w:val="single" w:sz="2" w:space="0" w:color="E3E3E3" w:frame="1"/>
              </w:rPr>
              <w:t>I. Introduction</w:t>
            </w:r>
            <w:r w:rsidR="00565EA8">
              <w:rPr>
                <w:webHidden/>
              </w:rPr>
              <w:tab/>
            </w:r>
            <w:r w:rsidR="00565EA8">
              <w:rPr>
                <w:webHidden/>
              </w:rPr>
              <w:fldChar w:fldCharType="begin"/>
            </w:r>
            <w:r w:rsidR="00565EA8">
              <w:rPr>
                <w:webHidden/>
              </w:rPr>
              <w:instrText xml:space="preserve"> PAGEREF _Toc168210352 \h </w:instrText>
            </w:r>
            <w:r w:rsidR="00565EA8">
              <w:rPr>
                <w:webHidden/>
              </w:rPr>
            </w:r>
            <w:r w:rsidR="00565EA8">
              <w:rPr>
                <w:webHidden/>
              </w:rPr>
              <w:fldChar w:fldCharType="separate"/>
            </w:r>
            <w:r w:rsidR="00565EA8">
              <w:rPr>
                <w:webHidden/>
              </w:rPr>
              <w:t>19</w:t>
            </w:r>
            <w:r w:rsidR="00565EA8">
              <w:rPr>
                <w:webHidden/>
              </w:rPr>
              <w:fldChar w:fldCharType="end"/>
            </w:r>
          </w:hyperlink>
        </w:p>
        <w:p w14:paraId="25383F14" w14:textId="54E4F3C3" w:rsidR="00565EA8" w:rsidRDefault="001D5681">
          <w:pPr>
            <w:pStyle w:val="TOC3"/>
            <w:tabs>
              <w:tab w:val="right" w:leader="dot" w:pos="9350"/>
            </w:tabs>
            <w:rPr>
              <w:rFonts w:cstheme="minorBidi"/>
              <w:noProof/>
              <w:kern w:val="2"/>
              <w:sz w:val="24"/>
              <w:szCs w:val="24"/>
              <w14:ligatures w14:val="standardContextual"/>
            </w:rPr>
          </w:pPr>
          <w:hyperlink w:anchor="_Toc168210353" w:history="1">
            <w:r w:rsidR="00565EA8" w:rsidRPr="00D67348">
              <w:rPr>
                <w:rStyle w:val="Hyperlink"/>
                <w:rFonts w:asciiTheme="majorHAnsi" w:eastAsia="Times New Roman" w:hAnsiTheme="majorHAnsi"/>
                <w:bCs/>
                <w:noProof/>
                <w:bdr w:val="single" w:sz="2" w:space="0" w:color="E3E3E3" w:frame="1"/>
              </w:rPr>
              <w:t>B. Research Objectives and Questions</w:t>
            </w:r>
            <w:r w:rsidR="00565EA8">
              <w:rPr>
                <w:noProof/>
                <w:webHidden/>
              </w:rPr>
              <w:tab/>
            </w:r>
            <w:r w:rsidR="00565EA8">
              <w:rPr>
                <w:noProof/>
                <w:webHidden/>
              </w:rPr>
              <w:fldChar w:fldCharType="begin"/>
            </w:r>
            <w:r w:rsidR="00565EA8">
              <w:rPr>
                <w:noProof/>
                <w:webHidden/>
              </w:rPr>
              <w:instrText xml:space="preserve"> PAGEREF _Toc168210353 \h </w:instrText>
            </w:r>
            <w:r w:rsidR="00565EA8">
              <w:rPr>
                <w:noProof/>
                <w:webHidden/>
              </w:rPr>
            </w:r>
            <w:r w:rsidR="00565EA8">
              <w:rPr>
                <w:noProof/>
                <w:webHidden/>
              </w:rPr>
              <w:fldChar w:fldCharType="separate"/>
            </w:r>
            <w:r w:rsidR="00565EA8">
              <w:rPr>
                <w:noProof/>
                <w:webHidden/>
              </w:rPr>
              <w:t>21</w:t>
            </w:r>
            <w:r w:rsidR="00565EA8">
              <w:rPr>
                <w:noProof/>
                <w:webHidden/>
              </w:rPr>
              <w:fldChar w:fldCharType="end"/>
            </w:r>
          </w:hyperlink>
        </w:p>
        <w:p w14:paraId="79D896CA" w14:textId="38448BD8"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54" w:history="1">
            <w:r w:rsidR="00565EA8" w:rsidRPr="00D67348">
              <w:rPr>
                <w:rStyle w:val="Hyperlink"/>
                <w:bCs/>
              </w:rPr>
              <w:t>Case Studies:</w:t>
            </w:r>
            <w:r w:rsidR="00565EA8">
              <w:rPr>
                <w:webHidden/>
              </w:rPr>
              <w:tab/>
            </w:r>
            <w:r w:rsidR="00565EA8">
              <w:rPr>
                <w:webHidden/>
              </w:rPr>
              <w:fldChar w:fldCharType="begin"/>
            </w:r>
            <w:r w:rsidR="00565EA8">
              <w:rPr>
                <w:webHidden/>
              </w:rPr>
              <w:instrText xml:space="preserve"> PAGEREF _Toc168210354 \h </w:instrText>
            </w:r>
            <w:r w:rsidR="00565EA8">
              <w:rPr>
                <w:webHidden/>
              </w:rPr>
            </w:r>
            <w:r w:rsidR="00565EA8">
              <w:rPr>
                <w:webHidden/>
              </w:rPr>
              <w:fldChar w:fldCharType="separate"/>
            </w:r>
            <w:r w:rsidR="00565EA8">
              <w:rPr>
                <w:webHidden/>
              </w:rPr>
              <w:t>34</w:t>
            </w:r>
            <w:r w:rsidR="00565EA8">
              <w:rPr>
                <w:webHidden/>
              </w:rPr>
              <w:fldChar w:fldCharType="end"/>
            </w:r>
          </w:hyperlink>
        </w:p>
        <w:p w14:paraId="051DA9E3" w14:textId="2CD633ED"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55" w:history="1">
            <w:r w:rsidR="00565EA8" w:rsidRPr="00D67348">
              <w:rPr>
                <w:rStyle w:val="Hyperlink"/>
                <w:bCs/>
              </w:rPr>
              <w:t>References</w:t>
            </w:r>
            <w:r w:rsidR="00565EA8">
              <w:rPr>
                <w:webHidden/>
              </w:rPr>
              <w:tab/>
            </w:r>
            <w:r w:rsidR="00565EA8">
              <w:rPr>
                <w:webHidden/>
              </w:rPr>
              <w:fldChar w:fldCharType="begin"/>
            </w:r>
            <w:r w:rsidR="00565EA8">
              <w:rPr>
                <w:webHidden/>
              </w:rPr>
              <w:instrText xml:space="preserve"> PAGEREF _Toc168210355 \h </w:instrText>
            </w:r>
            <w:r w:rsidR="00565EA8">
              <w:rPr>
                <w:webHidden/>
              </w:rPr>
            </w:r>
            <w:r w:rsidR="00565EA8">
              <w:rPr>
                <w:webHidden/>
              </w:rPr>
              <w:fldChar w:fldCharType="separate"/>
            </w:r>
            <w:r w:rsidR="00565EA8">
              <w:rPr>
                <w:webHidden/>
              </w:rPr>
              <w:t>36</w:t>
            </w:r>
            <w:r w:rsidR="00565EA8">
              <w:rPr>
                <w:webHidden/>
              </w:rPr>
              <w:fldChar w:fldCharType="end"/>
            </w:r>
          </w:hyperlink>
        </w:p>
        <w:p w14:paraId="5E0B2F85" w14:textId="0CE46E31"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56" w:history="1">
            <w:r w:rsidR="00565EA8" w:rsidRPr="00D67348">
              <w:rPr>
                <w:rStyle w:val="Hyperlink"/>
                <w:bCs/>
              </w:rPr>
              <w:t>Plan to implement URT principles:</w:t>
            </w:r>
            <w:r w:rsidR="00565EA8">
              <w:rPr>
                <w:webHidden/>
              </w:rPr>
              <w:tab/>
            </w:r>
            <w:r w:rsidR="00565EA8">
              <w:rPr>
                <w:webHidden/>
              </w:rPr>
              <w:fldChar w:fldCharType="begin"/>
            </w:r>
            <w:r w:rsidR="00565EA8">
              <w:rPr>
                <w:webHidden/>
              </w:rPr>
              <w:instrText xml:space="preserve"> PAGEREF _Toc168210356 \h </w:instrText>
            </w:r>
            <w:r w:rsidR="00565EA8">
              <w:rPr>
                <w:webHidden/>
              </w:rPr>
            </w:r>
            <w:r w:rsidR="00565EA8">
              <w:rPr>
                <w:webHidden/>
              </w:rPr>
              <w:fldChar w:fldCharType="separate"/>
            </w:r>
            <w:r w:rsidR="00565EA8">
              <w:rPr>
                <w:webHidden/>
              </w:rPr>
              <w:t>39</w:t>
            </w:r>
            <w:r w:rsidR="00565EA8">
              <w:rPr>
                <w:webHidden/>
              </w:rPr>
              <w:fldChar w:fldCharType="end"/>
            </w:r>
          </w:hyperlink>
        </w:p>
        <w:p w14:paraId="6E2AFB26" w14:textId="43C5391E"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57" w:history="1">
            <w:r w:rsidR="00565EA8" w:rsidRPr="00D67348">
              <w:rPr>
                <w:rStyle w:val="Hyperlink"/>
                <w:bCs/>
              </w:rPr>
              <w:t>Key words</w:t>
            </w:r>
            <w:r w:rsidR="00565EA8">
              <w:rPr>
                <w:webHidden/>
              </w:rPr>
              <w:tab/>
            </w:r>
            <w:r w:rsidR="00565EA8">
              <w:rPr>
                <w:webHidden/>
              </w:rPr>
              <w:fldChar w:fldCharType="begin"/>
            </w:r>
            <w:r w:rsidR="00565EA8">
              <w:rPr>
                <w:webHidden/>
              </w:rPr>
              <w:instrText xml:space="preserve"> PAGEREF _Toc168210357 \h </w:instrText>
            </w:r>
            <w:r w:rsidR="00565EA8">
              <w:rPr>
                <w:webHidden/>
              </w:rPr>
            </w:r>
            <w:r w:rsidR="00565EA8">
              <w:rPr>
                <w:webHidden/>
              </w:rPr>
              <w:fldChar w:fldCharType="separate"/>
            </w:r>
            <w:r w:rsidR="00565EA8">
              <w:rPr>
                <w:webHidden/>
              </w:rPr>
              <w:t>42</w:t>
            </w:r>
            <w:r w:rsidR="00565EA8">
              <w:rPr>
                <w:webHidden/>
              </w:rPr>
              <w:fldChar w:fldCharType="end"/>
            </w:r>
          </w:hyperlink>
        </w:p>
        <w:p w14:paraId="01F1C7FC" w14:textId="5B1321BA"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58" w:history="1">
            <w:r w:rsidR="00565EA8" w:rsidRPr="00D67348">
              <w:rPr>
                <w:rStyle w:val="Hyperlink"/>
                <w:b/>
                <w:bCs/>
              </w:rPr>
              <w:t>Dynamic Value Networks (DVN)</w:t>
            </w:r>
            <w:r w:rsidR="00565EA8">
              <w:rPr>
                <w:webHidden/>
              </w:rPr>
              <w:tab/>
            </w:r>
            <w:r w:rsidR="00565EA8">
              <w:rPr>
                <w:webHidden/>
              </w:rPr>
              <w:fldChar w:fldCharType="begin"/>
            </w:r>
            <w:r w:rsidR="00565EA8">
              <w:rPr>
                <w:webHidden/>
              </w:rPr>
              <w:instrText xml:space="preserve"> PAGEREF _Toc168210358 \h </w:instrText>
            </w:r>
            <w:r w:rsidR="00565EA8">
              <w:rPr>
                <w:webHidden/>
              </w:rPr>
            </w:r>
            <w:r w:rsidR="00565EA8">
              <w:rPr>
                <w:webHidden/>
              </w:rPr>
              <w:fldChar w:fldCharType="separate"/>
            </w:r>
            <w:r w:rsidR="00565EA8">
              <w:rPr>
                <w:webHidden/>
              </w:rPr>
              <w:t>42</w:t>
            </w:r>
            <w:r w:rsidR="00565EA8">
              <w:rPr>
                <w:webHidden/>
              </w:rPr>
              <w:fldChar w:fldCharType="end"/>
            </w:r>
          </w:hyperlink>
        </w:p>
        <w:p w14:paraId="3391C6AB" w14:textId="486E8FC9"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59" w:history="1">
            <w:r w:rsidR="00565EA8" w:rsidRPr="00D67348">
              <w:rPr>
                <w:rStyle w:val="Hyperlink"/>
                <w:bCs/>
              </w:rPr>
              <w:t>Abstract:</w:t>
            </w:r>
            <w:r w:rsidR="00565EA8">
              <w:rPr>
                <w:webHidden/>
              </w:rPr>
              <w:tab/>
            </w:r>
            <w:r w:rsidR="00565EA8">
              <w:rPr>
                <w:webHidden/>
              </w:rPr>
              <w:fldChar w:fldCharType="begin"/>
            </w:r>
            <w:r w:rsidR="00565EA8">
              <w:rPr>
                <w:webHidden/>
              </w:rPr>
              <w:instrText xml:space="preserve"> PAGEREF _Toc168210359 \h </w:instrText>
            </w:r>
            <w:r w:rsidR="00565EA8">
              <w:rPr>
                <w:webHidden/>
              </w:rPr>
            </w:r>
            <w:r w:rsidR="00565EA8">
              <w:rPr>
                <w:webHidden/>
              </w:rPr>
              <w:fldChar w:fldCharType="separate"/>
            </w:r>
            <w:r w:rsidR="00565EA8">
              <w:rPr>
                <w:webHidden/>
              </w:rPr>
              <w:t>42</w:t>
            </w:r>
            <w:r w:rsidR="00565EA8">
              <w:rPr>
                <w:webHidden/>
              </w:rPr>
              <w:fldChar w:fldCharType="end"/>
            </w:r>
          </w:hyperlink>
        </w:p>
        <w:p w14:paraId="7A7F69D5" w14:textId="07D9012B"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60" w:history="1">
            <w:r w:rsidR="00565EA8" w:rsidRPr="00D67348">
              <w:rPr>
                <w:rStyle w:val="Hyperlink"/>
                <w:bCs/>
              </w:rPr>
              <w:t>Introduction:</w:t>
            </w:r>
            <w:r w:rsidR="00565EA8">
              <w:rPr>
                <w:webHidden/>
              </w:rPr>
              <w:tab/>
            </w:r>
            <w:r w:rsidR="00565EA8">
              <w:rPr>
                <w:webHidden/>
              </w:rPr>
              <w:fldChar w:fldCharType="begin"/>
            </w:r>
            <w:r w:rsidR="00565EA8">
              <w:rPr>
                <w:webHidden/>
              </w:rPr>
              <w:instrText xml:space="preserve"> PAGEREF _Toc168210360 \h </w:instrText>
            </w:r>
            <w:r w:rsidR="00565EA8">
              <w:rPr>
                <w:webHidden/>
              </w:rPr>
            </w:r>
            <w:r w:rsidR="00565EA8">
              <w:rPr>
                <w:webHidden/>
              </w:rPr>
              <w:fldChar w:fldCharType="separate"/>
            </w:r>
            <w:r w:rsidR="00565EA8">
              <w:rPr>
                <w:webHidden/>
              </w:rPr>
              <w:t>44</w:t>
            </w:r>
            <w:r w:rsidR="00565EA8">
              <w:rPr>
                <w:webHidden/>
              </w:rPr>
              <w:fldChar w:fldCharType="end"/>
            </w:r>
          </w:hyperlink>
        </w:p>
        <w:p w14:paraId="050C0DD0" w14:textId="68EC305F"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61" w:history="1">
            <w:r w:rsidR="00565EA8" w:rsidRPr="00D67348">
              <w:rPr>
                <w:rStyle w:val="Hyperlink"/>
                <w:bCs/>
              </w:rPr>
              <w:t>Literature Review</w:t>
            </w:r>
            <w:r w:rsidR="00565EA8">
              <w:rPr>
                <w:webHidden/>
              </w:rPr>
              <w:tab/>
            </w:r>
            <w:r w:rsidR="00565EA8">
              <w:rPr>
                <w:webHidden/>
              </w:rPr>
              <w:fldChar w:fldCharType="begin"/>
            </w:r>
            <w:r w:rsidR="00565EA8">
              <w:rPr>
                <w:webHidden/>
              </w:rPr>
              <w:instrText xml:space="preserve"> PAGEREF _Toc168210361 \h </w:instrText>
            </w:r>
            <w:r w:rsidR="00565EA8">
              <w:rPr>
                <w:webHidden/>
              </w:rPr>
            </w:r>
            <w:r w:rsidR="00565EA8">
              <w:rPr>
                <w:webHidden/>
              </w:rPr>
              <w:fldChar w:fldCharType="separate"/>
            </w:r>
            <w:r w:rsidR="00565EA8">
              <w:rPr>
                <w:webHidden/>
              </w:rPr>
              <w:t>47</w:t>
            </w:r>
            <w:r w:rsidR="00565EA8">
              <w:rPr>
                <w:webHidden/>
              </w:rPr>
              <w:fldChar w:fldCharType="end"/>
            </w:r>
          </w:hyperlink>
        </w:p>
        <w:p w14:paraId="3A7A9ABC" w14:textId="0A843775"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62" w:history="1">
            <w:r w:rsidR="00565EA8" w:rsidRPr="00D67348">
              <w:rPr>
                <w:rStyle w:val="Hyperlink"/>
                <w:bCs/>
              </w:rPr>
              <w:t>Theoretical Framework</w:t>
            </w:r>
            <w:r w:rsidR="00565EA8">
              <w:rPr>
                <w:webHidden/>
              </w:rPr>
              <w:tab/>
            </w:r>
            <w:r w:rsidR="00565EA8">
              <w:rPr>
                <w:webHidden/>
              </w:rPr>
              <w:fldChar w:fldCharType="begin"/>
            </w:r>
            <w:r w:rsidR="00565EA8">
              <w:rPr>
                <w:webHidden/>
              </w:rPr>
              <w:instrText xml:space="preserve"> PAGEREF _Toc168210362 \h </w:instrText>
            </w:r>
            <w:r w:rsidR="00565EA8">
              <w:rPr>
                <w:webHidden/>
              </w:rPr>
            </w:r>
            <w:r w:rsidR="00565EA8">
              <w:rPr>
                <w:webHidden/>
              </w:rPr>
              <w:fldChar w:fldCharType="separate"/>
            </w:r>
            <w:r w:rsidR="00565EA8">
              <w:rPr>
                <w:webHidden/>
              </w:rPr>
              <w:t>48</w:t>
            </w:r>
            <w:r w:rsidR="00565EA8">
              <w:rPr>
                <w:webHidden/>
              </w:rPr>
              <w:fldChar w:fldCharType="end"/>
            </w:r>
          </w:hyperlink>
        </w:p>
        <w:p w14:paraId="0C8F04A7" w14:textId="58D01310"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63" w:history="1">
            <w:r w:rsidR="00565EA8" w:rsidRPr="00D67348">
              <w:rPr>
                <w:rStyle w:val="Hyperlink"/>
                <w:bCs/>
              </w:rPr>
              <w:t>Methodology</w:t>
            </w:r>
            <w:r w:rsidR="00565EA8">
              <w:rPr>
                <w:webHidden/>
              </w:rPr>
              <w:tab/>
            </w:r>
            <w:r w:rsidR="00565EA8">
              <w:rPr>
                <w:webHidden/>
              </w:rPr>
              <w:fldChar w:fldCharType="begin"/>
            </w:r>
            <w:r w:rsidR="00565EA8">
              <w:rPr>
                <w:webHidden/>
              </w:rPr>
              <w:instrText xml:space="preserve"> PAGEREF _Toc168210363 \h </w:instrText>
            </w:r>
            <w:r w:rsidR="00565EA8">
              <w:rPr>
                <w:webHidden/>
              </w:rPr>
            </w:r>
            <w:r w:rsidR="00565EA8">
              <w:rPr>
                <w:webHidden/>
              </w:rPr>
              <w:fldChar w:fldCharType="separate"/>
            </w:r>
            <w:r w:rsidR="00565EA8">
              <w:rPr>
                <w:webHidden/>
              </w:rPr>
              <w:t>51</w:t>
            </w:r>
            <w:r w:rsidR="00565EA8">
              <w:rPr>
                <w:webHidden/>
              </w:rPr>
              <w:fldChar w:fldCharType="end"/>
            </w:r>
          </w:hyperlink>
        </w:p>
        <w:p w14:paraId="65B232CA" w14:textId="3A445CC5"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64" w:history="1">
            <w:r w:rsidR="00565EA8" w:rsidRPr="00D67348">
              <w:rPr>
                <w:rStyle w:val="Hyperlink"/>
                <w:bCs/>
              </w:rPr>
              <w:t>Section 1: Understanding Dynamic Value Networks</w:t>
            </w:r>
            <w:r w:rsidR="00565EA8">
              <w:rPr>
                <w:webHidden/>
              </w:rPr>
              <w:tab/>
            </w:r>
            <w:r w:rsidR="00565EA8">
              <w:rPr>
                <w:webHidden/>
              </w:rPr>
              <w:fldChar w:fldCharType="begin"/>
            </w:r>
            <w:r w:rsidR="00565EA8">
              <w:rPr>
                <w:webHidden/>
              </w:rPr>
              <w:instrText xml:space="preserve"> PAGEREF _Toc168210364 \h </w:instrText>
            </w:r>
            <w:r w:rsidR="00565EA8">
              <w:rPr>
                <w:webHidden/>
              </w:rPr>
            </w:r>
            <w:r w:rsidR="00565EA8">
              <w:rPr>
                <w:webHidden/>
              </w:rPr>
              <w:fldChar w:fldCharType="separate"/>
            </w:r>
            <w:r w:rsidR="00565EA8">
              <w:rPr>
                <w:webHidden/>
              </w:rPr>
              <w:t>52</w:t>
            </w:r>
            <w:r w:rsidR="00565EA8">
              <w:rPr>
                <w:webHidden/>
              </w:rPr>
              <w:fldChar w:fldCharType="end"/>
            </w:r>
          </w:hyperlink>
        </w:p>
        <w:p w14:paraId="00534B19" w14:textId="1F6CA3DE" w:rsidR="00565EA8" w:rsidRDefault="001D5681">
          <w:pPr>
            <w:pStyle w:val="TOC2"/>
            <w:rPr>
              <w:rFonts w:asciiTheme="minorHAnsi" w:eastAsiaTheme="minorEastAsia" w:hAnsiTheme="minorHAnsi" w:cstheme="minorBidi"/>
              <w:b w:val="0"/>
              <w:bCs w:val="0"/>
              <w:color w:val="auto"/>
              <w:sz w:val="24"/>
              <w:szCs w:val="24"/>
            </w:rPr>
          </w:pPr>
          <w:hyperlink w:anchor="_Toc168210365" w:history="1">
            <w:r w:rsidR="00565EA8" w:rsidRPr="00D67348">
              <w:rPr>
                <w:rStyle w:val="Hyperlink"/>
              </w:rPr>
              <w:t>1.1 Definition of DVNs:</w:t>
            </w:r>
            <w:r w:rsidR="00565EA8">
              <w:rPr>
                <w:webHidden/>
              </w:rPr>
              <w:tab/>
            </w:r>
            <w:r w:rsidR="00565EA8">
              <w:rPr>
                <w:webHidden/>
              </w:rPr>
              <w:fldChar w:fldCharType="begin"/>
            </w:r>
            <w:r w:rsidR="00565EA8">
              <w:rPr>
                <w:webHidden/>
              </w:rPr>
              <w:instrText xml:space="preserve"> PAGEREF _Toc168210365 \h </w:instrText>
            </w:r>
            <w:r w:rsidR="00565EA8">
              <w:rPr>
                <w:webHidden/>
              </w:rPr>
            </w:r>
            <w:r w:rsidR="00565EA8">
              <w:rPr>
                <w:webHidden/>
              </w:rPr>
              <w:fldChar w:fldCharType="separate"/>
            </w:r>
            <w:r w:rsidR="00565EA8">
              <w:rPr>
                <w:webHidden/>
              </w:rPr>
              <w:t>52</w:t>
            </w:r>
            <w:r w:rsidR="00565EA8">
              <w:rPr>
                <w:webHidden/>
              </w:rPr>
              <w:fldChar w:fldCharType="end"/>
            </w:r>
          </w:hyperlink>
        </w:p>
        <w:p w14:paraId="1674BE26" w14:textId="5011786D" w:rsidR="00565EA8" w:rsidRDefault="001D5681">
          <w:pPr>
            <w:pStyle w:val="TOC2"/>
            <w:rPr>
              <w:rFonts w:asciiTheme="minorHAnsi" w:eastAsiaTheme="minorEastAsia" w:hAnsiTheme="minorHAnsi" w:cstheme="minorBidi"/>
              <w:b w:val="0"/>
              <w:bCs w:val="0"/>
              <w:color w:val="auto"/>
              <w:sz w:val="24"/>
              <w:szCs w:val="24"/>
            </w:rPr>
          </w:pPr>
          <w:hyperlink w:anchor="_Toc168210366" w:history="1">
            <w:r w:rsidR="00565EA8" w:rsidRPr="00D67348">
              <w:rPr>
                <w:rStyle w:val="Hyperlink"/>
              </w:rPr>
              <w:t>1.2 Evolution of Value Networks:</w:t>
            </w:r>
            <w:r w:rsidR="00565EA8">
              <w:rPr>
                <w:webHidden/>
              </w:rPr>
              <w:tab/>
            </w:r>
            <w:r w:rsidR="00565EA8">
              <w:rPr>
                <w:webHidden/>
              </w:rPr>
              <w:fldChar w:fldCharType="begin"/>
            </w:r>
            <w:r w:rsidR="00565EA8">
              <w:rPr>
                <w:webHidden/>
              </w:rPr>
              <w:instrText xml:space="preserve"> PAGEREF _Toc168210366 \h </w:instrText>
            </w:r>
            <w:r w:rsidR="00565EA8">
              <w:rPr>
                <w:webHidden/>
              </w:rPr>
            </w:r>
            <w:r w:rsidR="00565EA8">
              <w:rPr>
                <w:webHidden/>
              </w:rPr>
              <w:fldChar w:fldCharType="separate"/>
            </w:r>
            <w:r w:rsidR="00565EA8">
              <w:rPr>
                <w:webHidden/>
              </w:rPr>
              <w:t>52</w:t>
            </w:r>
            <w:r w:rsidR="00565EA8">
              <w:rPr>
                <w:webHidden/>
              </w:rPr>
              <w:fldChar w:fldCharType="end"/>
            </w:r>
          </w:hyperlink>
        </w:p>
        <w:p w14:paraId="17AF76E6" w14:textId="18597ED3"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67" w:history="1">
            <w:r w:rsidR="00565EA8" w:rsidRPr="00D67348">
              <w:rPr>
                <w:rStyle w:val="Hyperlink"/>
                <w:bCs/>
              </w:rPr>
              <w:t>Section 2: Principles of Dynamic Value Networks</w:t>
            </w:r>
            <w:r w:rsidR="00565EA8">
              <w:rPr>
                <w:webHidden/>
              </w:rPr>
              <w:tab/>
            </w:r>
            <w:r w:rsidR="00565EA8">
              <w:rPr>
                <w:webHidden/>
              </w:rPr>
              <w:fldChar w:fldCharType="begin"/>
            </w:r>
            <w:r w:rsidR="00565EA8">
              <w:rPr>
                <w:webHidden/>
              </w:rPr>
              <w:instrText xml:space="preserve"> PAGEREF _Toc168210367 \h </w:instrText>
            </w:r>
            <w:r w:rsidR="00565EA8">
              <w:rPr>
                <w:webHidden/>
              </w:rPr>
            </w:r>
            <w:r w:rsidR="00565EA8">
              <w:rPr>
                <w:webHidden/>
              </w:rPr>
              <w:fldChar w:fldCharType="separate"/>
            </w:r>
            <w:r w:rsidR="00565EA8">
              <w:rPr>
                <w:webHidden/>
              </w:rPr>
              <w:t>54</w:t>
            </w:r>
            <w:r w:rsidR="00565EA8">
              <w:rPr>
                <w:webHidden/>
              </w:rPr>
              <w:fldChar w:fldCharType="end"/>
            </w:r>
          </w:hyperlink>
        </w:p>
        <w:p w14:paraId="41711526" w14:textId="407EFD36" w:rsidR="00565EA8" w:rsidRDefault="001D5681">
          <w:pPr>
            <w:pStyle w:val="TOC2"/>
            <w:rPr>
              <w:rFonts w:asciiTheme="minorHAnsi" w:eastAsiaTheme="minorEastAsia" w:hAnsiTheme="minorHAnsi" w:cstheme="minorBidi"/>
              <w:b w:val="0"/>
              <w:bCs w:val="0"/>
              <w:color w:val="auto"/>
              <w:sz w:val="24"/>
              <w:szCs w:val="24"/>
            </w:rPr>
          </w:pPr>
          <w:hyperlink w:anchor="_Toc168210368" w:history="1">
            <w:r w:rsidR="00565EA8" w:rsidRPr="00D67348">
              <w:rPr>
                <w:rStyle w:val="Hyperlink"/>
              </w:rPr>
              <w:t>2.1 Network Orchestration</w:t>
            </w:r>
            <w:r w:rsidR="00565EA8">
              <w:rPr>
                <w:webHidden/>
              </w:rPr>
              <w:tab/>
            </w:r>
            <w:r w:rsidR="00565EA8">
              <w:rPr>
                <w:webHidden/>
              </w:rPr>
              <w:fldChar w:fldCharType="begin"/>
            </w:r>
            <w:r w:rsidR="00565EA8">
              <w:rPr>
                <w:webHidden/>
              </w:rPr>
              <w:instrText xml:space="preserve"> PAGEREF _Toc168210368 \h </w:instrText>
            </w:r>
            <w:r w:rsidR="00565EA8">
              <w:rPr>
                <w:webHidden/>
              </w:rPr>
            </w:r>
            <w:r w:rsidR="00565EA8">
              <w:rPr>
                <w:webHidden/>
              </w:rPr>
              <w:fldChar w:fldCharType="separate"/>
            </w:r>
            <w:r w:rsidR="00565EA8">
              <w:rPr>
                <w:webHidden/>
              </w:rPr>
              <w:t>54</w:t>
            </w:r>
            <w:r w:rsidR="00565EA8">
              <w:rPr>
                <w:webHidden/>
              </w:rPr>
              <w:fldChar w:fldCharType="end"/>
            </w:r>
          </w:hyperlink>
        </w:p>
        <w:p w14:paraId="2A453CA9" w14:textId="3695B9D0" w:rsidR="00565EA8" w:rsidRDefault="001D5681">
          <w:pPr>
            <w:pStyle w:val="TOC2"/>
            <w:rPr>
              <w:rFonts w:asciiTheme="minorHAnsi" w:eastAsiaTheme="minorEastAsia" w:hAnsiTheme="minorHAnsi" w:cstheme="minorBidi"/>
              <w:b w:val="0"/>
              <w:bCs w:val="0"/>
              <w:color w:val="auto"/>
              <w:sz w:val="24"/>
              <w:szCs w:val="24"/>
            </w:rPr>
          </w:pPr>
          <w:hyperlink w:anchor="_Toc168210369" w:history="1">
            <w:r w:rsidR="00565EA8" w:rsidRPr="00D67348">
              <w:rPr>
                <w:rStyle w:val="Hyperlink"/>
              </w:rPr>
              <w:t>2.2 Co-Creation and Innovation</w:t>
            </w:r>
            <w:r w:rsidR="00565EA8">
              <w:rPr>
                <w:webHidden/>
              </w:rPr>
              <w:tab/>
            </w:r>
            <w:r w:rsidR="00565EA8">
              <w:rPr>
                <w:webHidden/>
              </w:rPr>
              <w:fldChar w:fldCharType="begin"/>
            </w:r>
            <w:r w:rsidR="00565EA8">
              <w:rPr>
                <w:webHidden/>
              </w:rPr>
              <w:instrText xml:space="preserve"> PAGEREF _Toc168210369 \h </w:instrText>
            </w:r>
            <w:r w:rsidR="00565EA8">
              <w:rPr>
                <w:webHidden/>
              </w:rPr>
            </w:r>
            <w:r w:rsidR="00565EA8">
              <w:rPr>
                <w:webHidden/>
              </w:rPr>
              <w:fldChar w:fldCharType="separate"/>
            </w:r>
            <w:r w:rsidR="00565EA8">
              <w:rPr>
                <w:webHidden/>
              </w:rPr>
              <w:t>55</w:t>
            </w:r>
            <w:r w:rsidR="00565EA8">
              <w:rPr>
                <w:webHidden/>
              </w:rPr>
              <w:fldChar w:fldCharType="end"/>
            </w:r>
          </w:hyperlink>
        </w:p>
        <w:p w14:paraId="3D34F3FD" w14:textId="6D7464AD" w:rsidR="00565EA8" w:rsidRDefault="001D5681">
          <w:pPr>
            <w:pStyle w:val="TOC2"/>
            <w:rPr>
              <w:rFonts w:asciiTheme="minorHAnsi" w:eastAsiaTheme="minorEastAsia" w:hAnsiTheme="minorHAnsi" w:cstheme="minorBidi"/>
              <w:b w:val="0"/>
              <w:bCs w:val="0"/>
              <w:color w:val="auto"/>
              <w:sz w:val="24"/>
              <w:szCs w:val="24"/>
            </w:rPr>
          </w:pPr>
          <w:hyperlink w:anchor="_Toc168210370" w:history="1">
            <w:r w:rsidR="00565EA8" w:rsidRPr="00D67348">
              <w:rPr>
                <w:rStyle w:val="Hyperlink"/>
              </w:rPr>
              <w:t>2.3 Value Capture and Distribution</w:t>
            </w:r>
            <w:r w:rsidR="00565EA8">
              <w:rPr>
                <w:webHidden/>
              </w:rPr>
              <w:tab/>
            </w:r>
            <w:r w:rsidR="00565EA8">
              <w:rPr>
                <w:webHidden/>
              </w:rPr>
              <w:fldChar w:fldCharType="begin"/>
            </w:r>
            <w:r w:rsidR="00565EA8">
              <w:rPr>
                <w:webHidden/>
              </w:rPr>
              <w:instrText xml:space="preserve"> PAGEREF _Toc168210370 \h </w:instrText>
            </w:r>
            <w:r w:rsidR="00565EA8">
              <w:rPr>
                <w:webHidden/>
              </w:rPr>
            </w:r>
            <w:r w:rsidR="00565EA8">
              <w:rPr>
                <w:webHidden/>
              </w:rPr>
              <w:fldChar w:fldCharType="separate"/>
            </w:r>
            <w:r w:rsidR="00565EA8">
              <w:rPr>
                <w:webHidden/>
              </w:rPr>
              <w:t>55</w:t>
            </w:r>
            <w:r w:rsidR="00565EA8">
              <w:rPr>
                <w:webHidden/>
              </w:rPr>
              <w:fldChar w:fldCharType="end"/>
            </w:r>
          </w:hyperlink>
        </w:p>
        <w:p w14:paraId="33810D86" w14:textId="37473C1D"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71" w:history="1">
            <w:r w:rsidR="00565EA8" w:rsidRPr="00D67348">
              <w:rPr>
                <w:rStyle w:val="Hyperlink"/>
                <w:bCs/>
              </w:rPr>
              <w:t>Section 3: Leveraging Dynamic Value Networks</w:t>
            </w:r>
            <w:r w:rsidR="00565EA8">
              <w:rPr>
                <w:webHidden/>
              </w:rPr>
              <w:tab/>
            </w:r>
            <w:r w:rsidR="00565EA8">
              <w:rPr>
                <w:webHidden/>
              </w:rPr>
              <w:fldChar w:fldCharType="begin"/>
            </w:r>
            <w:r w:rsidR="00565EA8">
              <w:rPr>
                <w:webHidden/>
              </w:rPr>
              <w:instrText xml:space="preserve"> PAGEREF _Toc168210371 \h </w:instrText>
            </w:r>
            <w:r w:rsidR="00565EA8">
              <w:rPr>
                <w:webHidden/>
              </w:rPr>
            </w:r>
            <w:r w:rsidR="00565EA8">
              <w:rPr>
                <w:webHidden/>
              </w:rPr>
              <w:fldChar w:fldCharType="separate"/>
            </w:r>
            <w:r w:rsidR="00565EA8">
              <w:rPr>
                <w:webHidden/>
              </w:rPr>
              <w:t>56</w:t>
            </w:r>
            <w:r w:rsidR="00565EA8">
              <w:rPr>
                <w:webHidden/>
              </w:rPr>
              <w:fldChar w:fldCharType="end"/>
            </w:r>
          </w:hyperlink>
        </w:p>
        <w:p w14:paraId="78F094A2" w14:textId="3BF888FA" w:rsidR="00565EA8" w:rsidRDefault="001D5681">
          <w:pPr>
            <w:pStyle w:val="TOC2"/>
            <w:rPr>
              <w:rFonts w:asciiTheme="minorHAnsi" w:eastAsiaTheme="minorEastAsia" w:hAnsiTheme="minorHAnsi" w:cstheme="minorBidi"/>
              <w:b w:val="0"/>
              <w:bCs w:val="0"/>
              <w:color w:val="auto"/>
              <w:sz w:val="24"/>
              <w:szCs w:val="24"/>
            </w:rPr>
          </w:pPr>
          <w:hyperlink w:anchor="_Toc168210372" w:history="1">
            <w:r w:rsidR="00565EA8" w:rsidRPr="00D67348">
              <w:rPr>
                <w:rStyle w:val="Hyperlink"/>
              </w:rPr>
              <w:t>3.1 Ecosystem Strategy</w:t>
            </w:r>
            <w:r w:rsidR="00565EA8">
              <w:rPr>
                <w:webHidden/>
              </w:rPr>
              <w:tab/>
            </w:r>
            <w:r w:rsidR="00565EA8">
              <w:rPr>
                <w:webHidden/>
              </w:rPr>
              <w:fldChar w:fldCharType="begin"/>
            </w:r>
            <w:r w:rsidR="00565EA8">
              <w:rPr>
                <w:webHidden/>
              </w:rPr>
              <w:instrText xml:space="preserve"> PAGEREF _Toc168210372 \h </w:instrText>
            </w:r>
            <w:r w:rsidR="00565EA8">
              <w:rPr>
                <w:webHidden/>
              </w:rPr>
            </w:r>
            <w:r w:rsidR="00565EA8">
              <w:rPr>
                <w:webHidden/>
              </w:rPr>
              <w:fldChar w:fldCharType="separate"/>
            </w:r>
            <w:r w:rsidR="00565EA8">
              <w:rPr>
                <w:webHidden/>
              </w:rPr>
              <w:t>56</w:t>
            </w:r>
            <w:r w:rsidR="00565EA8">
              <w:rPr>
                <w:webHidden/>
              </w:rPr>
              <w:fldChar w:fldCharType="end"/>
            </w:r>
          </w:hyperlink>
        </w:p>
        <w:p w14:paraId="40830B94" w14:textId="7C45BAAE" w:rsidR="00565EA8" w:rsidRDefault="001D5681">
          <w:pPr>
            <w:pStyle w:val="TOC2"/>
            <w:rPr>
              <w:rFonts w:asciiTheme="minorHAnsi" w:eastAsiaTheme="minorEastAsia" w:hAnsiTheme="minorHAnsi" w:cstheme="minorBidi"/>
              <w:b w:val="0"/>
              <w:bCs w:val="0"/>
              <w:color w:val="auto"/>
              <w:sz w:val="24"/>
              <w:szCs w:val="24"/>
            </w:rPr>
          </w:pPr>
          <w:hyperlink w:anchor="_Toc168210373" w:history="1">
            <w:r w:rsidR="00565EA8" w:rsidRPr="00D67348">
              <w:rPr>
                <w:rStyle w:val="Hyperlink"/>
              </w:rPr>
              <w:t>3.2 Digital Transformation and Platformization</w:t>
            </w:r>
            <w:r w:rsidR="00565EA8">
              <w:rPr>
                <w:webHidden/>
              </w:rPr>
              <w:tab/>
            </w:r>
            <w:r w:rsidR="00565EA8">
              <w:rPr>
                <w:webHidden/>
              </w:rPr>
              <w:fldChar w:fldCharType="begin"/>
            </w:r>
            <w:r w:rsidR="00565EA8">
              <w:rPr>
                <w:webHidden/>
              </w:rPr>
              <w:instrText xml:space="preserve"> PAGEREF _Toc168210373 \h </w:instrText>
            </w:r>
            <w:r w:rsidR="00565EA8">
              <w:rPr>
                <w:webHidden/>
              </w:rPr>
            </w:r>
            <w:r w:rsidR="00565EA8">
              <w:rPr>
                <w:webHidden/>
              </w:rPr>
              <w:fldChar w:fldCharType="separate"/>
            </w:r>
            <w:r w:rsidR="00565EA8">
              <w:rPr>
                <w:webHidden/>
              </w:rPr>
              <w:t>58</w:t>
            </w:r>
            <w:r w:rsidR="00565EA8">
              <w:rPr>
                <w:webHidden/>
              </w:rPr>
              <w:fldChar w:fldCharType="end"/>
            </w:r>
          </w:hyperlink>
        </w:p>
        <w:p w14:paraId="7E600900" w14:textId="15D32078"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74" w:history="1">
            <w:r w:rsidR="00565EA8" w:rsidRPr="00D67348">
              <w:rPr>
                <w:rStyle w:val="Hyperlink"/>
                <w:bCs/>
              </w:rPr>
              <w:t>Section 4: Collaborative Partnership Development</w:t>
            </w:r>
            <w:r w:rsidR="00565EA8">
              <w:rPr>
                <w:webHidden/>
              </w:rPr>
              <w:tab/>
            </w:r>
            <w:r w:rsidR="00565EA8">
              <w:rPr>
                <w:webHidden/>
              </w:rPr>
              <w:fldChar w:fldCharType="begin"/>
            </w:r>
            <w:r w:rsidR="00565EA8">
              <w:rPr>
                <w:webHidden/>
              </w:rPr>
              <w:instrText xml:space="preserve"> PAGEREF _Toc168210374 \h </w:instrText>
            </w:r>
            <w:r w:rsidR="00565EA8">
              <w:rPr>
                <w:webHidden/>
              </w:rPr>
            </w:r>
            <w:r w:rsidR="00565EA8">
              <w:rPr>
                <w:webHidden/>
              </w:rPr>
              <w:fldChar w:fldCharType="separate"/>
            </w:r>
            <w:r w:rsidR="00565EA8">
              <w:rPr>
                <w:webHidden/>
              </w:rPr>
              <w:t>59</w:t>
            </w:r>
            <w:r w:rsidR="00565EA8">
              <w:rPr>
                <w:webHidden/>
              </w:rPr>
              <w:fldChar w:fldCharType="end"/>
            </w:r>
          </w:hyperlink>
        </w:p>
        <w:p w14:paraId="454635D8" w14:textId="68562BE2" w:rsidR="00565EA8" w:rsidRDefault="001D5681">
          <w:pPr>
            <w:pStyle w:val="TOC2"/>
            <w:rPr>
              <w:rFonts w:asciiTheme="minorHAnsi" w:eastAsiaTheme="minorEastAsia" w:hAnsiTheme="minorHAnsi" w:cstheme="minorBidi"/>
              <w:b w:val="0"/>
              <w:bCs w:val="0"/>
              <w:color w:val="auto"/>
              <w:sz w:val="24"/>
              <w:szCs w:val="24"/>
            </w:rPr>
          </w:pPr>
          <w:hyperlink w:anchor="_Toc168210375" w:history="1">
            <w:r w:rsidR="00565EA8" w:rsidRPr="00D67348">
              <w:rPr>
                <w:rStyle w:val="Hyperlink"/>
              </w:rPr>
              <w:t>4.1 Agile Governance and Decision-Making</w:t>
            </w:r>
            <w:r w:rsidR="00565EA8">
              <w:rPr>
                <w:webHidden/>
              </w:rPr>
              <w:tab/>
            </w:r>
            <w:r w:rsidR="00565EA8">
              <w:rPr>
                <w:webHidden/>
              </w:rPr>
              <w:fldChar w:fldCharType="begin"/>
            </w:r>
            <w:r w:rsidR="00565EA8">
              <w:rPr>
                <w:webHidden/>
              </w:rPr>
              <w:instrText xml:space="preserve"> PAGEREF _Toc168210375 \h </w:instrText>
            </w:r>
            <w:r w:rsidR="00565EA8">
              <w:rPr>
                <w:webHidden/>
              </w:rPr>
            </w:r>
            <w:r w:rsidR="00565EA8">
              <w:rPr>
                <w:webHidden/>
              </w:rPr>
              <w:fldChar w:fldCharType="separate"/>
            </w:r>
            <w:r w:rsidR="00565EA8">
              <w:rPr>
                <w:webHidden/>
              </w:rPr>
              <w:t>60</w:t>
            </w:r>
            <w:r w:rsidR="00565EA8">
              <w:rPr>
                <w:webHidden/>
              </w:rPr>
              <w:fldChar w:fldCharType="end"/>
            </w:r>
          </w:hyperlink>
        </w:p>
        <w:p w14:paraId="318C683A" w14:textId="0E7CCAE2" w:rsidR="00565EA8" w:rsidRDefault="001D5681">
          <w:pPr>
            <w:pStyle w:val="TOC2"/>
            <w:rPr>
              <w:rFonts w:asciiTheme="minorHAnsi" w:eastAsiaTheme="minorEastAsia" w:hAnsiTheme="minorHAnsi" w:cstheme="minorBidi"/>
              <w:b w:val="0"/>
              <w:bCs w:val="0"/>
              <w:color w:val="auto"/>
              <w:sz w:val="24"/>
              <w:szCs w:val="24"/>
            </w:rPr>
          </w:pPr>
          <w:hyperlink w:anchor="_Toc168210376" w:history="1">
            <w:r w:rsidR="00565EA8" w:rsidRPr="00D67348">
              <w:rPr>
                <w:rStyle w:val="Hyperlink"/>
              </w:rPr>
              <w:t>4.2 Data-driven Insights and Analytics</w:t>
            </w:r>
            <w:r w:rsidR="00565EA8">
              <w:rPr>
                <w:webHidden/>
              </w:rPr>
              <w:tab/>
            </w:r>
            <w:r w:rsidR="00565EA8">
              <w:rPr>
                <w:webHidden/>
              </w:rPr>
              <w:fldChar w:fldCharType="begin"/>
            </w:r>
            <w:r w:rsidR="00565EA8">
              <w:rPr>
                <w:webHidden/>
              </w:rPr>
              <w:instrText xml:space="preserve"> PAGEREF _Toc168210376 \h </w:instrText>
            </w:r>
            <w:r w:rsidR="00565EA8">
              <w:rPr>
                <w:webHidden/>
              </w:rPr>
            </w:r>
            <w:r w:rsidR="00565EA8">
              <w:rPr>
                <w:webHidden/>
              </w:rPr>
              <w:fldChar w:fldCharType="separate"/>
            </w:r>
            <w:r w:rsidR="00565EA8">
              <w:rPr>
                <w:webHidden/>
              </w:rPr>
              <w:t>61</w:t>
            </w:r>
            <w:r w:rsidR="00565EA8">
              <w:rPr>
                <w:webHidden/>
              </w:rPr>
              <w:fldChar w:fldCharType="end"/>
            </w:r>
          </w:hyperlink>
        </w:p>
        <w:p w14:paraId="72873ADB" w14:textId="1B00EE54"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77" w:history="1">
            <w:r w:rsidR="00565EA8" w:rsidRPr="00D67348">
              <w:rPr>
                <w:rStyle w:val="Hyperlink"/>
                <w:bCs/>
              </w:rPr>
              <w:t>Section 5:  Risk Identification and Assessment</w:t>
            </w:r>
            <w:r w:rsidR="00565EA8">
              <w:rPr>
                <w:webHidden/>
              </w:rPr>
              <w:tab/>
            </w:r>
            <w:r w:rsidR="00565EA8">
              <w:rPr>
                <w:webHidden/>
              </w:rPr>
              <w:fldChar w:fldCharType="begin"/>
            </w:r>
            <w:r w:rsidR="00565EA8">
              <w:rPr>
                <w:webHidden/>
              </w:rPr>
              <w:instrText xml:space="preserve"> PAGEREF _Toc168210377 \h </w:instrText>
            </w:r>
            <w:r w:rsidR="00565EA8">
              <w:rPr>
                <w:webHidden/>
              </w:rPr>
            </w:r>
            <w:r w:rsidR="00565EA8">
              <w:rPr>
                <w:webHidden/>
              </w:rPr>
              <w:fldChar w:fldCharType="separate"/>
            </w:r>
            <w:r w:rsidR="00565EA8">
              <w:rPr>
                <w:webHidden/>
              </w:rPr>
              <w:t>62</w:t>
            </w:r>
            <w:r w:rsidR="00565EA8">
              <w:rPr>
                <w:webHidden/>
              </w:rPr>
              <w:fldChar w:fldCharType="end"/>
            </w:r>
          </w:hyperlink>
        </w:p>
        <w:p w14:paraId="48E9CFD4" w14:textId="2CC58120" w:rsidR="00565EA8" w:rsidRDefault="001D5681">
          <w:pPr>
            <w:pStyle w:val="TOC2"/>
            <w:rPr>
              <w:rFonts w:asciiTheme="minorHAnsi" w:eastAsiaTheme="minorEastAsia" w:hAnsiTheme="minorHAnsi" w:cstheme="minorBidi"/>
              <w:b w:val="0"/>
              <w:bCs w:val="0"/>
              <w:color w:val="auto"/>
              <w:sz w:val="24"/>
              <w:szCs w:val="24"/>
            </w:rPr>
          </w:pPr>
          <w:hyperlink w:anchor="_Toc168210378" w:history="1">
            <w:r w:rsidR="00565EA8" w:rsidRPr="00D67348">
              <w:rPr>
                <w:rStyle w:val="Hyperlink"/>
              </w:rPr>
              <w:t>5.1 Resilience Building and Adaptive Capacity</w:t>
            </w:r>
            <w:r w:rsidR="00565EA8">
              <w:rPr>
                <w:webHidden/>
              </w:rPr>
              <w:tab/>
            </w:r>
            <w:r w:rsidR="00565EA8">
              <w:rPr>
                <w:webHidden/>
              </w:rPr>
              <w:fldChar w:fldCharType="begin"/>
            </w:r>
            <w:r w:rsidR="00565EA8">
              <w:rPr>
                <w:webHidden/>
              </w:rPr>
              <w:instrText xml:space="preserve"> PAGEREF _Toc168210378 \h </w:instrText>
            </w:r>
            <w:r w:rsidR="00565EA8">
              <w:rPr>
                <w:webHidden/>
              </w:rPr>
            </w:r>
            <w:r w:rsidR="00565EA8">
              <w:rPr>
                <w:webHidden/>
              </w:rPr>
              <w:fldChar w:fldCharType="separate"/>
            </w:r>
            <w:r w:rsidR="00565EA8">
              <w:rPr>
                <w:webHidden/>
              </w:rPr>
              <w:t>63</w:t>
            </w:r>
            <w:r w:rsidR="00565EA8">
              <w:rPr>
                <w:webHidden/>
              </w:rPr>
              <w:fldChar w:fldCharType="end"/>
            </w:r>
          </w:hyperlink>
        </w:p>
        <w:p w14:paraId="4CD6E3FD" w14:textId="40EB33BA"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79" w:history="1">
            <w:r w:rsidR="00565EA8" w:rsidRPr="00D67348">
              <w:rPr>
                <w:rStyle w:val="Hyperlink"/>
                <w:bCs/>
              </w:rPr>
              <w:t>Section 6: Ethics and Social Responsibility</w:t>
            </w:r>
            <w:r w:rsidR="00565EA8">
              <w:rPr>
                <w:webHidden/>
              </w:rPr>
              <w:tab/>
            </w:r>
            <w:r w:rsidR="00565EA8">
              <w:rPr>
                <w:webHidden/>
              </w:rPr>
              <w:fldChar w:fldCharType="begin"/>
            </w:r>
            <w:r w:rsidR="00565EA8">
              <w:rPr>
                <w:webHidden/>
              </w:rPr>
              <w:instrText xml:space="preserve"> PAGEREF _Toc168210379 \h </w:instrText>
            </w:r>
            <w:r w:rsidR="00565EA8">
              <w:rPr>
                <w:webHidden/>
              </w:rPr>
            </w:r>
            <w:r w:rsidR="00565EA8">
              <w:rPr>
                <w:webHidden/>
              </w:rPr>
              <w:fldChar w:fldCharType="separate"/>
            </w:r>
            <w:r w:rsidR="00565EA8">
              <w:rPr>
                <w:webHidden/>
              </w:rPr>
              <w:t>64</w:t>
            </w:r>
            <w:r w:rsidR="00565EA8">
              <w:rPr>
                <w:webHidden/>
              </w:rPr>
              <w:fldChar w:fldCharType="end"/>
            </w:r>
          </w:hyperlink>
        </w:p>
        <w:p w14:paraId="6AF530EE" w14:textId="2FDDA03D"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80" w:history="1">
            <w:r w:rsidR="00565EA8" w:rsidRPr="00D67348">
              <w:rPr>
                <w:rStyle w:val="Hyperlink"/>
                <w:bCs/>
              </w:rPr>
              <w:t>Section 7: Performance Measurement and Metrics</w:t>
            </w:r>
            <w:r w:rsidR="00565EA8">
              <w:rPr>
                <w:webHidden/>
              </w:rPr>
              <w:tab/>
            </w:r>
            <w:r w:rsidR="00565EA8">
              <w:rPr>
                <w:webHidden/>
              </w:rPr>
              <w:fldChar w:fldCharType="begin"/>
            </w:r>
            <w:r w:rsidR="00565EA8">
              <w:rPr>
                <w:webHidden/>
              </w:rPr>
              <w:instrText xml:space="preserve"> PAGEREF _Toc168210380 \h </w:instrText>
            </w:r>
            <w:r w:rsidR="00565EA8">
              <w:rPr>
                <w:webHidden/>
              </w:rPr>
            </w:r>
            <w:r w:rsidR="00565EA8">
              <w:rPr>
                <w:webHidden/>
              </w:rPr>
              <w:fldChar w:fldCharType="separate"/>
            </w:r>
            <w:r w:rsidR="00565EA8">
              <w:rPr>
                <w:webHidden/>
              </w:rPr>
              <w:t>65</w:t>
            </w:r>
            <w:r w:rsidR="00565EA8">
              <w:rPr>
                <w:webHidden/>
              </w:rPr>
              <w:fldChar w:fldCharType="end"/>
            </w:r>
          </w:hyperlink>
        </w:p>
        <w:p w14:paraId="5B631A5D" w14:textId="48346AF1"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81" w:history="1">
            <w:r w:rsidR="00565EA8" w:rsidRPr="00D67348">
              <w:rPr>
                <w:rStyle w:val="Hyperlink"/>
                <w:bCs/>
              </w:rPr>
              <w:t>Section 8: Governance and Decision-Making in Dynamic Value Networks</w:t>
            </w:r>
            <w:r w:rsidR="00565EA8">
              <w:rPr>
                <w:webHidden/>
              </w:rPr>
              <w:tab/>
            </w:r>
            <w:r w:rsidR="00565EA8">
              <w:rPr>
                <w:webHidden/>
              </w:rPr>
              <w:fldChar w:fldCharType="begin"/>
            </w:r>
            <w:r w:rsidR="00565EA8">
              <w:rPr>
                <w:webHidden/>
              </w:rPr>
              <w:instrText xml:space="preserve"> PAGEREF _Toc168210381 \h </w:instrText>
            </w:r>
            <w:r w:rsidR="00565EA8">
              <w:rPr>
                <w:webHidden/>
              </w:rPr>
            </w:r>
            <w:r w:rsidR="00565EA8">
              <w:rPr>
                <w:webHidden/>
              </w:rPr>
              <w:fldChar w:fldCharType="separate"/>
            </w:r>
            <w:r w:rsidR="00565EA8">
              <w:rPr>
                <w:webHidden/>
              </w:rPr>
              <w:t>68</w:t>
            </w:r>
            <w:r w:rsidR="00565EA8">
              <w:rPr>
                <w:webHidden/>
              </w:rPr>
              <w:fldChar w:fldCharType="end"/>
            </w:r>
          </w:hyperlink>
        </w:p>
        <w:p w14:paraId="03F73E07" w14:textId="39F02363" w:rsidR="00565EA8" w:rsidRDefault="001D5681">
          <w:pPr>
            <w:pStyle w:val="TOC2"/>
            <w:rPr>
              <w:rFonts w:asciiTheme="minorHAnsi" w:eastAsiaTheme="minorEastAsia" w:hAnsiTheme="minorHAnsi" w:cstheme="minorBidi"/>
              <w:b w:val="0"/>
              <w:bCs w:val="0"/>
              <w:color w:val="auto"/>
              <w:sz w:val="24"/>
              <w:szCs w:val="24"/>
            </w:rPr>
          </w:pPr>
          <w:hyperlink w:anchor="_Toc168210382" w:history="1">
            <w:r w:rsidR="00565EA8" w:rsidRPr="00D67348">
              <w:rPr>
                <w:rStyle w:val="Hyperlink"/>
              </w:rPr>
              <w:t>8.1 Principles of Governance in DVNs</w:t>
            </w:r>
            <w:r w:rsidR="00565EA8">
              <w:rPr>
                <w:webHidden/>
              </w:rPr>
              <w:tab/>
            </w:r>
            <w:r w:rsidR="00565EA8">
              <w:rPr>
                <w:webHidden/>
              </w:rPr>
              <w:fldChar w:fldCharType="begin"/>
            </w:r>
            <w:r w:rsidR="00565EA8">
              <w:rPr>
                <w:webHidden/>
              </w:rPr>
              <w:instrText xml:space="preserve"> PAGEREF _Toc168210382 \h </w:instrText>
            </w:r>
            <w:r w:rsidR="00565EA8">
              <w:rPr>
                <w:webHidden/>
              </w:rPr>
            </w:r>
            <w:r w:rsidR="00565EA8">
              <w:rPr>
                <w:webHidden/>
              </w:rPr>
              <w:fldChar w:fldCharType="separate"/>
            </w:r>
            <w:r w:rsidR="00565EA8">
              <w:rPr>
                <w:webHidden/>
              </w:rPr>
              <w:t>68</w:t>
            </w:r>
            <w:r w:rsidR="00565EA8">
              <w:rPr>
                <w:webHidden/>
              </w:rPr>
              <w:fldChar w:fldCharType="end"/>
            </w:r>
          </w:hyperlink>
        </w:p>
        <w:p w14:paraId="3F1336A9" w14:textId="765FC9F1" w:rsidR="00565EA8" w:rsidRDefault="001D5681">
          <w:pPr>
            <w:pStyle w:val="TOC2"/>
            <w:rPr>
              <w:rFonts w:asciiTheme="minorHAnsi" w:eastAsiaTheme="minorEastAsia" w:hAnsiTheme="minorHAnsi" w:cstheme="minorBidi"/>
              <w:b w:val="0"/>
              <w:bCs w:val="0"/>
              <w:color w:val="auto"/>
              <w:sz w:val="24"/>
              <w:szCs w:val="24"/>
            </w:rPr>
          </w:pPr>
          <w:hyperlink w:anchor="_Toc168210383" w:history="1">
            <w:r w:rsidR="00565EA8" w:rsidRPr="00D67348">
              <w:rPr>
                <w:rStyle w:val="Hyperlink"/>
              </w:rPr>
              <w:t>8.2 Mechanisms for Governance in DVNs</w:t>
            </w:r>
            <w:r w:rsidR="00565EA8">
              <w:rPr>
                <w:webHidden/>
              </w:rPr>
              <w:tab/>
            </w:r>
            <w:r w:rsidR="00565EA8">
              <w:rPr>
                <w:webHidden/>
              </w:rPr>
              <w:fldChar w:fldCharType="begin"/>
            </w:r>
            <w:r w:rsidR="00565EA8">
              <w:rPr>
                <w:webHidden/>
              </w:rPr>
              <w:instrText xml:space="preserve"> PAGEREF _Toc168210383 \h </w:instrText>
            </w:r>
            <w:r w:rsidR="00565EA8">
              <w:rPr>
                <w:webHidden/>
              </w:rPr>
            </w:r>
            <w:r w:rsidR="00565EA8">
              <w:rPr>
                <w:webHidden/>
              </w:rPr>
              <w:fldChar w:fldCharType="separate"/>
            </w:r>
            <w:r w:rsidR="00565EA8">
              <w:rPr>
                <w:webHidden/>
              </w:rPr>
              <w:t>68</w:t>
            </w:r>
            <w:r w:rsidR="00565EA8">
              <w:rPr>
                <w:webHidden/>
              </w:rPr>
              <w:fldChar w:fldCharType="end"/>
            </w:r>
          </w:hyperlink>
        </w:p>
        <w:p w14:paraId="5F24BA00" w14:textId="6561FDDD" w:rsidR="00565EA8" w:rsidRDefault="001D5681">
          <w:pPr>
            <w:pStyle w:val="TOC2"/>
            <w:rPr>
              <w:rFonts w:asciiTheme="minorHAnsi" w:eastAsiaTheme="minorEastAsia" w:hAnsiTheme="minorHAnsi" w:cstheme="minorBidi"/>
              <w:b w:val="0"/>
              <w:bCs w:val="0"/>
              <w:color w:val="auto"/>
              <w:sz w:val="24"/>
              <w:szCs w:val="24"/>
            </w:rPr>
          </w:pPr>
          <w:hyperlink w:anchor="_Toc168210384" w:history="1">
            <w:r w:rsidR="00565EA8" w:rsidRPr="00D67348">
              <w:rPr>
                <w:rStyle w:val="Hyperlink"/>
              </w:rPr>
              <w:t>8.3 Challenges and Considerations in Governance</w:t>
            </w:r>
            <w:r w:rsidR="00565EA8">
              <w:rPr>
                <w:webHidden/>
              </w:rPr>
              <w:tab/>
            </w:r>
            <w:r w:rsidR="00565EA8">
              <w:rPr>
                <w:webHidden/>
              </w:rPr>
              <w:fldChar w:fldCharType="begin"/>
            </w:r>
            <w:r w:rsidR="00565EA8">
              <w:rPr>
                <w:webHidden/>
              </w:rPr>
              <w:instrText xml:space="preserve"> PAGEREF _Toc168210384 \h </w:instrText>
            </w:r>
            <w:r w:rsidR="00565EA8">
              <w:rPr>
                <w:webHidden/>
              </w:rPr>
            </w:r>
            <w:r w:rsidR="00565EA8">
              <w:rPr>
                <w:webHidden/>
              </w:rPr>
              <w:fldChar w:fldCharType="separate"/>
            </w:r>
            <w:r w:rsidR="00565EA8">
              <w:rPr>
                <w:webHidden/>
              </w:rPr>
              <w:t>69</w:t>
            </w:r>
            <w:r w:rsidR="00565EA8">
              <w:rPr>
                <w:webHidden/>
              </w:rPr>
              <w:fldChar w:fldCharType="end"/>
            </w:r>
          </w:hyperlink>
        </w:p>
        <w:p w14:paraId="1F006C37" w14:textId="0283F7D8"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85" w:history="1">
            <w:r w:rsidR="00565EA8" w:rsidRPr="00D67348">
              <w:rPr>
                <w:rStyle w:val="Hyperlink"/>
                <w:bCs/>
              </w:rPr>
              <w:t>Section 9: Innovation and Creativity in Dynamic Value Networks</w:t>
            </w:r>
            <w:r w:rsidR="00565EA8">
              <w:rPr>
                <w:webHidden/>
              </w:rPr>
              <w:tab/>
            </w:r>
            <w:r w:rsidR="00565EA8">
              <w:rPr>
                <w:webHidden/>
              </w:rPr>
              <w:fldChar w:fldCharType="begin"/>
            </w:r>
            <w:r w:rsidR="00565EA8">
              <w:rPr>
                <w:webHidden/>
              </w:rPr>
              <w:instrText xml:space="preserve"> PAGEREF _Toc168210385 \h </w:instrText>
            </w:r>
            <w:r w:rsidR="00565EA8">
              <w:rPr>
                <w:webHidden/>
              </w:rPr>
            </w:r>
            <w:r w:rsidR="00565EA8">
              <w:rPr>
                <w:webHidden/>
              </w:rPr>
              <w:fldChar w:fldCharType="separate"/>
            </w:r>
            <w:r w:rsidR="00565EA8">
              <w:rPr>
                <w:webHidden/>
              </w:rPr>
              <w:t>70</w:t>
            </w:r>
            <w:r w:rsidR="00565EA8">
              <w:rPr>
                <w:webHidden/>
              </w:rPr>
              <w:fldChar w:fldCharType="end"/>
            </w:r>
          </w:hyperlink>
        </w:p>
        <w:p w14:paraId="6E444821" w14:textId="5AC374F3" w:rsidR="00565EA8" w:rsidRDefault="001D5681">
          <w:pPr>
            <w:pStyle w:val="TOC2"/>
            <w:rPr>
              <w:rFonts w:asciiTheme="minorHAnsi" w:eastAsiaTheme="minorEastAsia" w:hAnsiTheme="minorHAnsi" w:cstheme="minorBidi"/>
              <w:b w:val="0"/>
              <w:bCs w:val="0"/>
              <w:color w:val="auto"/>
              <w:sz w:val="24"/>
              <w:szCs w:val="24"/>
            </w:rPr>
          </w:pPr>
          <w:hyperlink w:anchor="_Toc168210386" w:history="1">
            <w:r w:rsidR="00565EA8" w:rsidRPr="00D67348">
              <w:rPr>
                <w:rStyle w:val="Hyperlink"/>
              </w:rPr>
              <w:t>9.1 Role of Innovation in DVNs</w:t>
            </w:r>
            <w:r w:rsidR="00565EA8">
              <w:rPr>
                <w:webHidden/>
              </w:rPr>
              <w:tab/>
            </w:r>
            <w:r w:rsidR="00565EA8">
              <w:rPr>
                <w:webHidden/>
              </w:rPr>
              <w:fldChar w:fldCharType="begin"/>
            </w:r>
            <w:r w:rsidR="00565EA8">
              <w:rPr>
                <w:webHidden/>
              </w:rPr>
              <w:instrText xml:space="preserve"> PAGEREF _Toc168210386 \h </w:instrText>
            </w:r>
            <w:r w:rsidR="00565EA8">
              <w:rPr>
                <w:webHidden/>
              </w:rPr>
            </w:r>
            <w:r w:rsidR="00565EA8">
              <w:rPr>
                <w:webHidden/>
              </w:rPr>
              <w:fldChar w:fldCharType="separate"/>
            </w:r>
            <w:r w:rsidR="00565EA8">
              <w:rPr>
                <w:webHidden/>
              </w:rPr>
              <w:t>70</w:t>
            </w:r>
            <w:r w:rsidR="00565EA8">
              <w:rPr>
                <w:webHidden/>
              </w:rPr>
              <w:fldChar w:fldCharType="end"/>
            </w:r>
          </w:hyperlink>
        </w:p>
        <w:p w14:paraId="4C900523" w14:textId="6A599F59" w:rsidR="00565EA8" w:rsidRDefault="001D5681">
          <w:pPr>
            <w:pStyle w:val="TOC2"/>
            <w:rPr>
              <w:rFonts w:asciiTheme="minorHAnsi" w:eastAsiaTheme="minorEastAsia" w:hAnsiTheme="minorHAnsi" w:cstheme="minorBidi"/>
              <w:b w:val="0"/>
              <w:bCs w:val="0"/>
              <w:color w:val="auto"/>
              <w:sz w:val="24"/>
              <w:szCs w:val="24"/>
            </w:rPr>
          </w:pPr>
          <w:hyperlink w:anchor="_Toc168210387" w:history="1">
            <w:r w:rsidR="00565EA8" w:rsidRPr="00D67348">
              <w:rPr>
                <w:rStyle w:val="Hyperlink"/>
              </w:rPr>
              <w:t>9.2 Processes and Strategies for Innovation in DVNs</w:t>
            </w:r>
            <w:r w:rsidR="00565EA8">
              <w:rPr>
                <w:webHidden/>
              </w:rPr>
              <w:tab/>
            </w:r>
            <w:r w:rsidR="00565EA8">
              <w:rPr>
                <w:webHidden/>
              </w:rPr>
              <w:fldChar w:fldCharType="begin"/>
            </w:r>
            <w:r w:rsidR="00565EA8">
              <w:rPr>
                <w:webHidden/>
              </w:rPr>
              <w:instrText xml:space="preserve"> PAGEREF _Toc168210387 \h </w:instrText>
            </w:r>
            <w:r w:rsidR="00565EA8">
              <w:rPr>
                <w:webHidden/>
              </w:rPr>
            </w:r>
            <w:r w:rsidR="00565EA8">
              <w:rPr>
                <w:webHidden/>
              </w:rPr>
              <w:fldChar w:fldCharType="separate"/>
            </w:r>
            <w:r w:rsidR="00565EA8">
              <w:rPr>
                <w:webHidden/>
              </w:rPr>
              <w:t>70</w:t>
            </w:r>
            <w:r w:rsidR="00565EA8">
              <w:rPr>
                <w:webHidden/>
              </w:rPr>
              <w:fldChar w:fldCharType="end"/>
            </w:r>
          </w:hyperlink>
        </w:p>
        <w:p w14:paraId="4C21DFF6" w14:textId="2873CBBA" w:rsidR="00565EA8" w:rsidRDefault="001D5681">
          <w:pPr>
            <w:pStyle w:val="TOC2"/>
            <w:rPr>
              <w:rFonts w:asciiTheme="minorHAnsi" w:eastAsiaTheme="minorEastAsia" w:hAnsiTheme="minorHAnsi" w:cstheme="minorBidi"/>
              <w:b w:val="0"/>
              <w:bCs w:val="0"/>
              <w:color w:val="auto"/>
              <w:sz w:val="24"/>
              <w:szCs w:val="24"/>
            </w:rPr>
          </w:pPr>
          <w:hyperlink w:anchor="_Toc168210388" w:history="1">
            <w:r w:rsidR="00565EA8" w:rsidRPr="00D67348">
              <w:rPr>
                <w:rStyle w:val="Hyperlink"/>
              </w:rPr>
              <w:t>9.3 Challenges and Considerations in Innovation</w:t>
            </w:r>
            <w:r w:rsidR="00565EA8">
              <w:rPr>
                <w:webHidden/>
              </w:rPr>
              <w:tab/>
            </w:r>
            <w:r w:rsidR="00565EA8">
              <w:rPr>
                <w:webHidden/>
              </w:rPr>
              <w:fldChar w:fldCharType="begin"/>
            </w:r>
            <w:r w:rsidR="00565EA8">
              <w:rPr>
                <w:webHidden/>
              </w:rPr>
              <w:instrText xml:space="preserve"> PAGEREF _Toc168210388 \h </w:instrText>
            </w:r>
            <w:r w:rsidR="00565EA8">
              <w:rPr>
                <w:webHidden/>
              </w:rPr>
            </w:r>
            <w:r w:rsidR="00565EA8">
              <w:rPr>
                <w:webHidden/>
              </w:rPr>
              <w:fldChar w:fldCharType="separate"/>
            </w:r>
            <w:r w:rsidR="00565EA8">
              <w:rPr>
                <w:webHidden/>
              </w:rPr>
              <w:t>71</w:t>
            </w:r>
            <w:r w:rsidR="00565EA8">
              <w:rPr>
                <w:webHidden/>
              </w:rPr>
              <w:fldChar w:fldCharType="end"/>
            </w:r>
          </w:hyperlink>
        </w:p>
        <w:p w14:paraId="4A99CED0" w14:textId="379D5789"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89" w:history="1">
            <w:r w:rsidR="00565EA8" w:rsidRPr="00D67348">
              <w:rPr>
                <w:rStyle w:val="Hyperlink"/>
                <w:bCs/>
              </w:rPr>
              <w:t>Section 10: Talent Management and Development in Dynamic Value Networks</w:t>
            </w:r>
            <w:r w:rsidR="00565EA8">
              <w:rPr>
                <w:webHidden/>
              </w:rPr>
              <w:tab/>
            </w:r>
            <w:r w:rsidR="00565EA8">
              <w:rPr>
                <w:webHidden/>
              </w:rPr>
              <w:fldChar w:fldCharType="begin"/>
            </w:r>
            <w:r w:rsidR="00565EA8">
              <w:rPr>
                <w:webHidden/>
              </w:rPr>
              <w:instrText xml:space="preserve"> PAGEREF _Toc168210389 \h </w:instrText>
            </w:r>
            <w:r w:rsidR="00565EA8">
              <w:rPr>
                <w:webHidden/>
              </w:rPr>
            </w:r>
            <w:r w:rsidR="00565EA8">
              <w:rPr>
                <w:webHidden/>
              </w:rPr>
              <w:fldChar w:fldCharType="separate"/>
            </w:r>
            <w:r w:rsidR="00565EA8">
              <w:rPr>
                <w:webHidden/>
              </w:rPr>
              <w:t>72</w:t>
            </w:r>
            <w:r w:rsidR="00565EA8">
              <w:rPr>
                <w:webHidden/>
              </w:rPr>
              <w:fldChar w:fldCharType="end"/>
            </w:r>
          </w:hyperlink>
        </w:p>
        <w:p w14:paraId="099FD15D" w14:textId="25BF91BF" w:rsidR="00565EA8" w:rsidRDefault="001D5681">
          <w:pPr>
            <w:pStyle w:val="TOC2"/>
            <w:rPr>
              <w:rFonts w:asciiTheme="minorHAnsi" w:eastAsiaTheme="minorEastAsia" w:hAnsiTheme="minorHAnsi" w:cstheme="minorBidi"/>
              <w:b w:val="0"/>
              <w:bCs w:val="0"/>
              <w:color w:val="auto"/>
              <w:sz w:val="24"/>
              <w:szCs w:val="24"/>
            </w:rPr>
          </w:pPr>
          <w:hyperlink w:anchor="_Toc168210390" w:history="1">
            <w:r w:rsidR="00565EA8" w:rsidRPr="00D67348">
              <w:rPr>
                <w:rStyle w:val="Hyperlink"/>
              </w:rPr>
              <w:t>10.1 Importance of Talent Management in DVNs</w:t>
            </w:r>
            <w:r w:rsidR="00565EA8">
              <w:rPr>
                <w:webHidden/>
              </w:rPr>
              <w:tab/>
            </w:r>
            <w:r w:rsidR="00565EA8">
              <w:rPr>
                <w:webHidden/>
              </w:rPr>
              <w:fldChar w:fldCharType="begin"/>
            </w:r>
            <w:r w:rsidR="00565EA8">
              <w:rPr>
                <w:webHidden/>
              </w:rPr>
              <w:instrText xml:space="preserve"> PAGEREF _Toc168210390 \h </w:instrText>
            </w:r>
            <w:r w:rsidR="00565EA8">
              <w:rPr>
                <w:webHidden/>
              </w:rPr>
            </w:r>
            <w:r w:rsidR="00565EA8">
              <w:rPr>
                <w:webHidden/>
              </w:rPr>
              <w:fldChar w:fldCharType="separate"/>
            </w:r>
            <w:r w:rsidR="00565EA8">
              <w:rPr>
                <w:webHidden/>
              </w:rPr>
              <w:t>72</w:t>
            </w:r>
            <w:r w:rsidR="00565EA8">
              <w:rPr>
                <w:webHidden/>
              </w:rPr>
              <w:fldChar w:fldCharType="end"/>
            </w:r>
          </w:hyperlink>
        </w:p>
        <w:p w14:paraId="532FA16B" w14:textId="5C680C3B" w:rsidR="00565EA8" w:rsidRDefault="001D5681">
          <w:pPr>
            <w:pStyle w:val="TOC2"/>
            <w:rPr>
              <w:rFonts w:asciiTheme="minorHAnsi" w:eastAsiaTheme="minorEastAsia" w:hAnsiTheme="minorHAnsi" w:cstheme="minorBidi"/>
              <w:b w:val="0"/>
              <w:bCs w:val="0"/>
              <w:color w:val="auto"/>
              <w:sz w:val="24"/>
              <w:szCs w:val="24"/>
            </w:rPr>
          </w:pPr>
          <w:hyperlink w:anchor="_Toc168210391" w:history="1">
            <w:r w:rsidR="00565EA8" w:rsidRPr="00D67348">
              <w:rPr>
                <w:rStyle w:val="Hyperlink"/>
              </w:rPr>
              <w:t>10.2 Strategies and Practices for Talent Management in DVNs</w:t>
            </w:r>
            <w:r w:rsidR="00565EA8">
              <w:rPr>
                <w:webHidden/>
              </w:rPr>
              <w:tab/>
            </w:r>
            <w:r w:rsidR="00565EA8">
              <w:rPr>
                <w:webHidden/>
              </w:rPr>
              <w:fldChar w:fldCharType="begin"/>
            </w:r>
            <w:r w:rsidR="00565EA8">
              <w:rPr>
                <w:webHidden/>
              </w:rPr>
              <w:instrText xml:space="preserve"> PAGEREF _Toc168210391 \h </w:instrText>
            </w:r>
            <w:r w:rsidR="00565EA8">
              <w:rPr>
                <w:webHidden/>
              </w:rPr>
            </w:r>
            <w:r w:rsidR="00565EA8">
              <w:rPr>
                <w:webHidden/>
              </w:rPr>
              <w:fldChar w:fldCharType="separate"/>
            </w:r>
            <w:r w:rsidR="00565EA8">
              <w:rPr>
                <w:webHidden/>
              </w:rPr>
              <w:t>73</w:t>
            </w:r>
            <w:r w:rsidR="00565EA8">
              <w:rPr>
                <w:webHidden/>
              </w:rPr>
              <w:fldChar w:fldCharType="end"/>
            </w:r>
          </w:hyperlink>
        </w:p>
        <w:p w14:paraId="65506E65" w14:textId="7F1C2D75"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92" w:history="1">
            <w:r w:rsidR="00565EA8" w:rsidRPr="00D67348">
              <w:rPr>
                <w:rStyle w:val="Hyperlink"/>
                <w:bCs/>
              </w:rPr>
              <w:t>10.3 Challenges and Considerations in Talent Management</w:t>
            </w:r>
            <w:r w:rsidR="00565EA8">
              <w:rPr>
                <w:webHidden/>
              </w:rPr>
              <w:tab/>
            </w:r>
            <w:r w:rsidR="00565EA8">
              <w:rPr>
                <w:webHidden/>
              </w:rPr>
              <w:fldChar w:fldCharType="begin"/>
            </w:r>
            <w:r w:rsidR="00565EA8">
              <w:rPr>
                <w:webHidden/>
              </w:rPr>
              <w:instrText xml:space="preserve"> PAGEREF _Toc168210392 \h </w:instrText>
            </w:r>
            <w:r w:rsidR="00565EA8">
              <w:rPr>
                <w:webHidden/>
              </w:rPr>
            </w:r>
            <w:r w:rsidR="00565EA8">
              <w:rPr>
                <w:webHidden/>
              </w:rPr>
              <w:fldChar w:fldCharType="separate"/>
            </w:r>
            <w:r w:rsidR="00565EA8">
              <w:rPr>
                <w:webHidden/>
              </w:rPr>
              <w:t>73</w:t>
            </w:r>
            <w:r w:rsidR="00565EA8">
              <w:rPr>
                <w:webHidden/>
              </w:rPr>
              <w:fldChar w:fldCharType="end"/>
            </w:r>
          </w:hyperlink>
        </w:p>
        <w:p w14:paraId="59A80171" w14:textId="29F8B7D0"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93" w:history="1">
            <w:r w:rsidR="00565EA8" w:rsidRPr="00D67348">
              <w:rPr>
                <w:rStyle w:val="Hyperlink"/>
                <w:bCs/>
              </w:rPr>
              <w:t>Section 11: Governance and Compliance in Dynamic Value Networks</w:t>
            </w:r>
            <w:r w:rsidR="00565EA8">
              <w:rPr>
                <w:webHidden/>
              </w:rPr>
              <w:tab/>
            </w:r>
            <w:r w:rsidR="00565EA8">
              <w:rPr>
                <w:webHidden/>
              </w:rPr>
              <w:fldChar w:fldCharType="begin"/>
            </w:r>
            <w:r w:rsidR="00565EA8">
              <w:rPr>
                <w:webHidden/>
              </w:rPr>
              <w:instrText xml:space="preserve"> PAGEREF _Toc168210393 \h </w:instrText>
            </w:r>
            <w:r w:rsidR="00565EA8">
              <w:rPr>
                <w:webHidden/>
              </w:rPr>
            </w:r>
            <w:r w:rsidR="00565EA8">
              <w:rPr>
                <w:webHidden/>
              </w:rPr>
              <w:fldChar w:fldCharType="separate"/>
            </w:r>
            <w:r w:rsidR="00565EA8">
              <w:rPr>
                <w:webHidden/>
              </w:rPr>
              <w:t>74</w:t>
            </w:r>
            <w:r w:rsidR="00565EA8">
              <w:rPr>
                <w:webHidden/>
              </w:rPr>
              <w:fldChar w:fldCharType="end"/>
            </w:r>
          </w:hyperlink>
        </w:p>
        <w:p w14:paraId="1D4C2358" w14:textId="1EB0C74D" w:rsidR="00565EA8" w:rsidRDefault="001D5681">
          <w:pPr>
            <w:pStyle w:val="TOC2"/>
            <w:rPr>
              <w:rFonts w:asciiTheme="minorHAnsi" w:eastAsiaTheme="minorEastAsia" w:hAnsiTheme="minorHAnsi" w:cstheme="minorBidi"/>
              <w:b w:val="0"/>
              <w:bCs w:val="0"/>
              <w:color w:val="auto"/>
              <w:sz w:val="24"/>
              <w:szCs w:val="24"/>
            </w:rPr>
          </w:pPr>
          <w:hyperlink w:anchor="_Toc168210394" w:history="1">
            <w:r w:rsidR="00565EA8" w:rsidRPr="00D67348">
              <w:rPr>
                <w:rStyle w:val="Hyperlink"/>
              </w:rPr>
              <w:t>11.1 Governance Frameworks</w:t>
            </w:r>
            <w:r w:rsidR="00565EA8">
              <w:rPr>
                <w:webHidden/>
              </w:rPr>
              <w:tab/>
            </w:r>
            <w:r w:rsidR="00565EA8">
              <w:rPr>
                <w:webHidden/>
              </w:rPr>
              <w:fldChar w:fldCharType="begin"/>
            </w:r>
            <w:r w:rsidR="00565EA8">
              <w:rPr>
                <w:webHidden/>
              </w:rPr>
              <w:instrText xml:space="preserve"> PAGEREF _Toc168210394 \h </w:instrText>
            </w:r>
            <w:r w:rsidR="00565EA8">
              <w:rPr>
                <w:webHidden/>
              </w:rPr>
            </w:r>
            <w:r w:rsidR="00565EA8">
              <w:rPr>
                <w:webHidden/>
              </w:rPr>
              <w:fldChar w:fldCharType="separate"/>
            </w:r>
            <w:r w:rsidR="00565EA8">
              <w:rPr>
                <w:webHidden/>
              </w:rPr>
              <w:t>74</w:t>
            </w:r>
            <w:r w:rsidR="00565EA8">
              <w:rPr>
                <w:webHidden/>
              </w:rPr>
              <w:fldChar w:fldCharType="end"/>
            </w:r>
          </w:hyperlink>
        </w:p>
        <w:p w14:paraId="0CF4B1E7" w14:textId="21862BE2" w:rsidR="00565EA8" w:rsidRDefault="001D5681">
          <w:pPr>
            <w:pStyle w:val="TOC2"/>
            <w:rPr>
              <w:rFonts w:asciiTheme="minorHAnsi" w:eastAsiaTheme="minorEastAsia" w:hAnsiTheme="minorHAnsi" w:cstheme="minorBidi"/>
              <w:b w:val="0"/>
              <w:bCs w:val="0"/>
              <w:color w:val="auto"/>
              <w:sz w:val="24"/>
              <w:szCs w:val="24"/>
            </w:rPr>
          </w:pPr>
          <w:hyperlink w:anchor="_Toc168210395" w:history="1">
            <w:r w:rsidR="00565EA8" w:rsidRPr="00D67348">
              <w:rPr>
                <w:rStyle w:val="Hyperlink"/>
              </w:rPr>
              <w:t>11.2 Compliance Management</w:t>
            </w:r>
            <w:r w:rsidR="00565EA8">
              <w:rPr>
                <w:webHidden/>
              </w:rPr>
              <w:tab/>
            </w:r>
            <w:r w:rsidR="00565EA8">
              <w:rPr>
                <w:webHidden/>
              </w:rPr>
              <w:fldChar w:fldCharType="begin"/>
            </w:r>
            <w:r w:rsidR="00565EA8">
              <w:rPr>
                <w:webHidden/>
              </w:rPr>
              <w:instrText xml:space="preserve"> PAGEREF _Toc168210395 \h </w:instrText>
            </w:r>
            <w:r w:rsidR="00565EA8">
              <w:rPr>
                <w:webHidden/>
              </w:rPr>
            </w:r>
            <w:r w:rsidR="00565EA8">
              <w:rPr>
                <w:webHidden/>
              </w:rPr>
              <w:fldChar w:fldCharType="separate"/>
            </w:r>
            <w:r w:rsidR="00565EA8">
              <w:rPr>
                <w:webHidden/>
              </w:rPr>
              <w:t>74</w:t>
            </w:r>
            <w:r w:rsidR="00565EA8">
              <w:rPr>
                <w:webHidden/>
              </w:rPr>
              <w:fldChar w:fldCharType="end"/>
            </w:r>
          </w:hyperlink>
        </w:p>
        <w:p w14:paraId="2259909C" w14:textId="59E3ECDA" w:rsidR="00565EA8" w:rsidRDefault="001D5681">
          <w:pPr>
            <w:pStyle w:val="TOC2"/>
            <w:rPr>
              <w:rFonts w:asciiTheme="minorHAnsi" w:eastAsiaTheme="minorEastAsia" w:hAnsiTheme="minorHAnsi" w:cstheme="minorBidi"/>
              <w:b w:val="0"/>
              <w:bCs w:val="0"/>
              <w:color w:val="auto"/>
              <w:sz w:val="24"/>
              <w:szCs w:val="24"/>
            </w:rPr>
          </w:pPr>
          <w:hyperlink w:anchor="_Toc168210396" w:history="1">
            <w:r w:rsidR="00565EA8" w:rsidRPr="00D67348">
              <w:rPr>
                <w:rStyle w:val="Hyperlink"/>
              </w:rPr>
              <w:t>11.3 Risk Management</w:t>
            </w:r>
            <w:r w:rsidR="00565EA8">
              <w:rPr>
                <w:webHidden/>
              </w:rPr>
              <w:tab/>
            </w:r>
            <w:r w:rsidR="00565EA8">
              <w:rPr>
                <w:webHidden/>
              </w:rPr>
              <w:fldChar w:fldCharType="begin"/>
            </w:r>
            <w:r w:rsidR="00565EA8">
              <w:rPr>
                <w:webHidden/>
              </w:rPr>
              <w:instrText xml:space="preserve"> PAGEREF _Toc168210396 \h </w:instrText>
            </w:r>
            <w:r w:rsidR="00565EA8">
              <w:rPr>
                <w:webHidden/>
              </w:rPr>
            </w:r>
            <w:r w:rsidR="00565EA8">
              <w:rPr>
                <w:webHidden/>
              </w:rPr>
              <w:fldChar w:fldCharType="separate"/>
            </w:r>
            <w:r w:rsidR="00565EA8">
              <w:rPr>
                <w:webHidden/>
              </w:rPr>
              <w:t>75</w:t>
            </w:r>
            <w:r w:rsidR="00565EA8">
              <w:rPr>
                <w:webHidden/>
              </w:rPr>
              <w:fldChar w:fldCharType="end"/>
            </w:r>
          </w:hyperlink>
        </w:p>
        <w:p w14:paraId="610D7228" w14:textId="289A128C" w:rsidR="00565EA8" w:rsidRDefault="001D5681">
          <w:pPr>
            <w:pStyle w:val="TOC2"/>
            <w:rPr>
              <w:rFonts w:asciiTheme="minorHAnsi" w:eastAsiaTheme="minorEastAsia" w:hAnsiTheme="minorHAnsi" w:cstheme="minorBidi"/>
              <w:b w:val="0"/>
              <w:bCs w:val="0"/>
              <w:color w:val="auto"/>
              <w:sz w:val="24"/>
              <w:szCs w:val="24"/>
            </w:rPr>
          </w:pPr>
          <w:hyperlink w:anchor="_Toc168210397" w:history="1">
            <w:r w:rsidR="00565EA8" w:rsidRPr="00D67348">
              <w:rPr>
                <w:rStyle w:val="Hyperlink"/>
              </w:rPr>
              <w:t>11.4 Transparency and Accountability</w:t>
            </w:r>
            <w:r w:rsidR="00565EA8">
              <w:rPr>
                <w:webHidden/>
              </w:rPr>
              <w:tab/>
            </w:r>
            <w:r w:rsidR="00565EA8">
              <w:rPr>
                <w:webHidden/>
              </w:rPr>
              <w:fldChar w:fldCharType="begin"/>
            </w:r>
            <w:r w:rsidR="00565EA8">
              <w:rPr>
                <w:webHidden/>
              </w:rPr>
              <w:instrText xml:space="preserve"> PAGEREF _Toc168210397 \h </w:instrText>
            </w:r>
            <w:r w:rsidR="00565EA8">
              <w:rPr>
                <w:webHidden/>
              </w:rPr>
            </w:r>
            <w:r w:rsidR="00565EA8">
              <w:rPr>
                <w:webHidden/>
              </w:rPr>
              <w:fldChar w:fldCharType="separate"/>
            </w:r>
            <w:r w:rsidR="00565EA8">
              <w:rPr>
                <w:webHidden/>
              </w:rPr>
              <w:t>75</w:t>
            </w:r>
            <w:r w:rsidR="00565EA8">
              <w:rPr>
                <w:webHidden/>
              </w:rPr>
              <w:fldChar w:fldCharType="end"/>
            </w:r>
          </w:hyperlink>
        </w:p>
        <w:p w14:paraId="5BE15F4B" w14:textId="0900D827" w:rsidR="00565EA8" w:rsidRDefault="001D5681">
          <w:pPr>
            <w:pStyle w:val="TOC2"/>
            <w:rPr>
              <w:rFonts w:asciiTheme="minorHAnsi" w:eastAsiaTheme="minorEastAsia" w:hAnsiTheme="minorHAnsi" w:cstheme="minorBidi"/>
              <w:b w:val="0"/>
              <w:bCs w:val="0"/>
              <w:color w:val="auto"/>
              <w:sz w:val="24"/>
              <w:szCs w:val="24"/>
            </w:rPr>
          </w:pPr>
          <w:hyperlink w:anchor="_Toc168210398" w:history="1">
            <w:r w:rsidR="00565EA8" w:rsidRPr="00D67348">
              <w:rPr>
                <w:rStyle w:val="Hyperlink"/>
              </w:rPr>
              <w:t>11.5 Collaboration and Decision-Making</w:t>
            </w:r>
            <w:r w:rsidR="00565EA8">
              <w:rPr>
                <w:webHidden/>
              </w:rPr>
              <w:tab/>
            </w:r>
            <w:r w:rsidR="00565EA8">
              <w:rPr>
                <w:webHidden/>
              </w:rPr>
              <w:fldChar w:fldCharType="begin"/>
            </w:r>
            <w:r w:rsidR="00565EA8">
              <w:rPr>
                <w:webHidden/>
              </w:rPr>
              <w:instrText xml:space="preserve"> PAGEREF _Toc168210398 \h </w:instrText>
            </w:r>
            <w:r w:rsidR="00565EA8">
              <w:rPr>
                <w:webHidden/>
              </w:rPr>
            </w:r>
            <w:r w:rsidR="00565EA8">
              <w:rPr>
                <w:webHidden/>
              </w:rPr>
              <w:fldChar w:fldCharType="separate"/>
            </w:r>
            <w:r w:rsidR="00565EA8">
              <w:rPr>
                <w:webHidden/>
              </w:rPr>
              <w:t>75</w:t>
            </w:r>
            <w:r w:rsidR="00565EA8">
              <w:rPr>
                <w:webHidden/>
              </w:rPr>
              <w:fldChar w:fldCharType="end"/>
            </w:r>
          </w:hyperlink>
        </w:p>
        <w:p w14:paraId="70119643" w14:textId="0B915803"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399" w:history="1">
            <w:r w:rsidR="00565EA8" w:rsidRPr="00D67348">
              <w:rPr>
                <w:rStyle w:val="Hyperlink"/>
                <w:bCs/>
              </w:rPr>
              <w:t>Section 12: Sustainability and Corporate Social Responsibility in Dynamic Value Networks</w:t>
            </w:r>
            <w:r w:rsidR="00565EA8">
              <w:rPr>
                <w:webHidden/>
              </w:rPr>
              <w:tab/>
            </w:r>
            <w:r w:rsidR="00565EA8">
              <w:rPr>
                <w:webHidden/>
              </w:rPr>
              <w:fldChar w:fldCharType="begin"/>
            </w:r>
            <w:r w:rsidR="00565EA8">
              <w:rPr>
                <w:webHidden/>
              </w:rPr>
              <w:instrText xml:space="preserve"> PAGEREF _Toc168210399 \h </w:instrText>
            </w:r>
            <w:r w:rsidR="00565EA8">
              <w:rPr>
                <w:webHidden/>
              </w:rPr>
            </w:r>
            <w:r w:rsidR="00565EA8">
              <w:rPr>
                <w:webHidden/>
              </w:rPr>
              <w:fldChar w:fldCharType="separate"/>
            </w:r>
            <w:r w:rsidR="00565EA8">
              <w:rPr>
                <w:webHidden/>
              </w:rPr>
              <w:t>76</w:t>
            </w:r>
            <w:r w:rsidR="00565EA8">
              <w:rPr>
                <w:webHidden/>
              </w:rPr>
              <w:fldChar w:fldCharType="end"/>
            </w:r>
          </w:hyperlink>
        </w:p>
        <w:p w14:paraId="6DBE7642" w14:textId="6EABF1F3" w:rsidR="00565EA8" w:rsidRDefault="001D5681">
          <w:pPr>
            <w:pStyle w:val="TOC2"/>
            <w:rPr>
              <w:rFonts w:asciiTheme="minorHAnsi" w:eastAsiaTheme="minorEastAsia" w:hAnsiTheme="minorHAnsi" w:cstheme="minorBidi"/>
              <w:b w:val="0"/>
              <w:bCs w:val="0"/>
              <w:color w:val="auto"/>
              <w:sz w:val="24"/>
              <w:szCs w:val="24"/>
            </w:rPr>
          </w:pPr>
          <w:hyperlink w:anchor="_Toc168210400" w:history="1">
            <w:r w:rsidR="00565EA8" w:rsidRPr="00D67348">
              <w:rPr>
                <w:rStyle w:val="Hyperlink"/>
              </w:rPr>
              <w:t>12.1 Importance of Sustainability and CSR</w:t>
            </w:r>
            <w:r w:rsidR="00565EA8">
              <w:rPr>
                <w:webHidden/>
              </w:rPr>
              <w:tab/>
            </w:r>
            <w:r w:rsidR="00565EA8">
              <w:rPr>
                <w:webHidden/>
              </w:rPr>
              <w:fldChar w:fldCharType="begin"/>
            </w:r>
            <w:r w:rsidR="00565EA8">
              <w:rPr>
                <w:webHidden/>
              </w:rPr>
              <w:instrText xml:space="preserve"> PAGEREF _Toc168210400 \h </w:instrText>
            </w:r>
            <w:r w:rsidR="00565EA8">
              <w:rPr>
                <w:webHidden/>
              </w:rPr>
            </w:r>
            <w:r w:rsidR="00565EA8">
              <w:rPr>
                <w:webHidden/>
              </w:rPr>
              <w:fldChar w:fldCharType="separate"/>
            </w:r>
            <w:r w:rsidR="00565EA8">
              <w:rPr>
                <w:webHidden/>
              </w:rPr>
              <w:t>76</w:t>
            </w:r>
            <w:r w:rsidR="00565EA8">
              <w:rPr>
                <w:webHidden/>
              </w:rPr>
              <w:fldChar w:fldCharType="end"/>
            </w:r>
          </w:hyperlink>
        </w:p>
        <w:p w14:paraId="3ECBADCC" w14:textId="73C7FD5E" w:rsidR="00565EA8" w:rsidRDefault="001D5681">
          <w:pPr>
            <w:pStyle w:val="TOC2"/>
            <w:rPr>
              <w:rFonts w:asciiTheme="minorHAnsi" w:eastAsiaTheme="minorEastAsia" w:hAnsiTheme="minorHAnsi" w:cstheme="minorBidi"/>
              <w:b w:val="0"/>
              <w:bCs w:val="0"/>
              <w:color w:val="auto"/>
              <w:sz w:val="24"/>
              <w:szCs w:val="24"/>
            </w:rPr>
          </w:pPr>
          <w:hyperlink w:anchor="_Toc168210401" w:history="1">
            <w:r w:rsidR="00565EA8" w:rsidRPr="00D67348">
              <w:rPr>
                <w:rStyle w:val="Hyperlink"/>
              </w:rPr>
              <w:t>12.2 Sustainable Practices and Initiatives</w:t>
            </w:r>
            <w:r w:rsidR="00565EA8">
              <w:rPr>
                <w:webHidden/>
              </w:rPr>
              <w:tab/>
            </w:r>
            <w:r w:rsidR="00565EA8">
              <w:rPr>
                <w:webHidden/>
              </w:rPr>
              <w:fldChar w:fldCharType="begin"/>
            </w:r>
            <w:r w:rsidR="00565EA8">
              <w:rPr>
                <w:webHidden/>
              </w:rPr>
              <w:instrText xml:space="preserve"> PAGEREF _Toc168210401 \h </w:instrText>
            </w:r>
            <w:r w:rsidR="00565EA8">
              <w:rPr>
                <w:webHidden/>
              </w:rPr>
            </w:r>
            <w:r w:rsidR="00565EA8">
              <w:rPr>
                <w:webHidden/>
              </w:rPr>
              <w:fldChar w:fldCharType="separate"/>
            </w:r>
            <w:r w:rsidR="00565EA8">
              <w:rPr>
                <w:webHidden/>
              </w:rPr>
              <w:t>77</w:t>
            </w:r>
            <w:r w:rsidR="00565EA8">
              <w:rPr>
                <w:webHidden/>
              </w:rPr>
              <w:fldChar w:fldCharType="end"/>
            </w:r>
          </w:hyperlink>
        </w:p>
        <w:p w14:paraId="26D753A3" w14:textId="45A5C3D3" w:rsidR="00565EA8" w:rsidRDefault="001D5681">
          <w:pPr>
            <w:pStyle w:val="TOC2"/>
            <w:rPr>
              <w:rFonts w:asciiTheme="minorHAnsi" w:eastAsiaTheme="minorEastAsia" w:hAnsiTheme="minorHAnsi" w:cstheme="minorBidi"/>
              <w:b w:val="0"/>
              <w:bCs w:val="0"/>
              <w:color w:val="auto"/>
              <w:sz w:val="24"/>
              <w:szCs w:val="24"/>
            </w:rPr>
          </w:pPr>
          <w:hyperlink w:anchor="_Toc168210402" w:history="1">
            <w:r w:rsidR="00565EA8" w:rsidRPr="00D67348">
              <w:rPr>
                <w:rStyle w:val="Hyperlink"/>
              </w:rPr>
              <w:t>12.3 Challenges and Considerations:</w:t>
            </w:r>
            <w:r w:rsidR="00565EA8">
              <w:rPr>
                <w:webHidden/>
              </w:rPr>
              <w:tab/>
            </w:r>
            <w:r w:rsidR="00565EA8">
              <w:rPr>
                <w:webHidden/>
              </w:rPr>
              <w:fldChar w:fldCharType="begin"/>
            </w:r>
            <w:r w:rsidR="00565EA8">
              <w:rPr>
                <w:webHidden/>
              </w:rPr>
              <w:instrText xml:space="preserve"> PAGEREF _Toc168210402 \h </w:instrText>
            </w:r>
            <w:r w:rsidR="00565EA8">
              <w:rPr>
                <w:webHidden/>
              </w:rPr>
            </w:r>
            <w:r w:rsidR="00565EA8">
              <w:rPr>
                <w:webHidden/>
              </w:rPr>
              <w:fldChar w:fldCharType="separate"/>
            </w:r>
            <w:r w:rsidR="00565EA8">
              <w:rPr>
                <w:webHidden/>
              </w:rPr>
              <w:t>77</w:t>
            </w:r>
            <w:r w:rsidR="00565EA8">
              <w:rPr>
                <w:webHidden/>
              </w:rPr>
              <w:fldChar w:fldCharType="end"/>
            </w:r>
          </w:hyperlink>
        </w:p>
        <w:p w14:paraId="2DB0569A" w14:textId="22007D44"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403" w:history="1">
            <w:r w:rsidR="00565EA8" w:rsidRPr="00D67348">
              <w:rPr>
                <w:rStyle w:val="Hyperlink"/>
                <w:bCs/>
              </w:rPr>
              <w:t>Section 13: Innovation and Technology Adoption in Dynamic Value Networks</w:t>
            </w:r>
            <w:r w:rsidR="00565EA8">
              <w:rPr>
                <w:webHidden/>
              </w:rPr>
              <w:tab/>
            </w:r>
            <w:r w:rsidR="00565EA8">
              <w:rPr>
                <w:webHidden/>
              </w:rPr>
              <w:fldChar w:fldCharType="begin"/>
            </w:r>
            <w:r w:rsidR="00565EA8">
              <w:rPr>
                <w:webHidden/>
              </w:rPr>
              <w:instrText xml:space="preserve"> PAGEREF _Toc168210403 \h </w:instrText>
            </w:r>
            <w:r w:rsidR="00565EA8">
              <w:rPr>
                <w:webHidden/>
              </w:rPr>
            </w:r>
            <w:r w:rsidR="00565EA8">
              <w:rPr>
                <w:webHidden/>
              </w:rPr>
              <w:fldChar w:fldCharType="separate"/>
            </w:r>
            <w:r w:rsidR="00565EA8">
              <w:rPr>
                <w:webHidden/>
              </w:rPr>
              <w:t>78</w:t>
            </w:r>
            <w:r w:rsidR="00565EA8">
              <w:rPr>
                <w:webHidden/>
              </w:rPr>
              <w:fldChar w:fldCharType="end"/>
            </w:r>
          </w:hyperlink>
        </w:p>
        <w:p w14:paraId="60F7293C" w14:textId="2BFB7776" w:rsidR="00565EA8" w:rsidRDefault="001D5681">
          <w:pPr>
            <w:pStyle w:val="TOC2"/>
            <w:rPr>
              <w:rFonts w:asciiTheme="minorHAnsi" w:eastAsiaTheme="minorEastAsia" w:hAnsiTheme="minorHAnsi" w:cstheme="minorBidi"/>
              <w:b w:val="0"/>
              <w:bCs w:val="0"/>
              <w:color w:val="auto"/>
              <w:sz w:val="24"/>
              <w:szCs w:val="24"/>
            </w:rPr>
          </w:pPr>
          <w:hyperlink w:anchor="_Toc168210404" w:history="1">
            <w:r w:rsidR="00565EA8" w:rsidRPr="00D67348">
              <w:rPr>
                <w:rStyle w:val="Hyperlink"/>
              </w:rPr>
              <w:t>13.1 Importance of Innovation</w:t>
            </w:r>
            <w:r w:rsidR="00565EA8">
              <w:rPr>
                <w:webHidden/>
              </w:rPr>
              <w:tab/>
            </w:r>
            <w:r w:rsidR="00565EA8">
              <w:rPr>
                <w:webHidden/>
              </w:rPr>
              <w:fldChar w:fldCharType="begin"/>
            </w:r>
            <w:r w:rsidR="00565EA8">
              <w:rPr>
                <w:webHidden/>
              </w:rPr>
              <w:instrText xml:space="preserve"> PAGEREF _Toc168210404 \h </w:instrText>
            </w:r>
            <w:r w:rsidR="00565EA8">
              <w:rPr>
                <w:webHidden/>
              </w:rPr>
            </w:r>
            <w:r w:rsidR="00565EA8">
              <w:rPr>
                <w:webHidden/>
              </w:rPr>
              <w:fldChar w:fldCharType="separate"/>
            </w:r>
            <w:r w:rsidR="00565EA8">
              <w:rPr>
                <w:webHidden/>
              </w:rPr>
              <w:t>78</w:t>
            </w:r>
            <w:r w:rsidR="00565EA8">
              <w:rPr>
                <w:webHidden/>
              </w:rPr>
              <w:fldChar w:fldCharType="end"/>
            </w:r>
          </w:hyperlink>
        </w:p>
        <w:p w14:paraId="04F5D418" w14:textId="70A4A302" w:rsidR="00565EA8" w:rsidRDefault="001D5681">
          <w:pPr>
            <w:pStyle w:val="TOC2"/>
            <w:rPr>
              <w:rFonts w:asciiTheme="minorHAnsi" w:eastAsiaTheme="minorEastAsia" w:hAnsiTheme="minorHAnsi" w:cstheme="minorBidi"/>
              <w:b w:val="0"/>
              <w:bCs w:val="0"/>
              <w:color w:val="auto"/>
              <w:sz w:val="24"/>
              <w:szCs w:val="24"/>
            </w:rPr>
          </w:pPr>
          <w:hyperlink w:anchor="_Toc168210405" w:history="1">
            <w:r w:rsidR="00565EA8" w:rsidRPr="00D67348">
              <w:rPr>
                <w:rStyle w:val="Hyperlink"/>
              </w:rPr>
              <w:t>13.2 Innovation Strategies and Practices</w:t>
            </w:r>
            <w:r w:rsidR="00565EA8">
              <w:rPr>
                <w:webHidden/>
              </w:rPr>
              <w:tab/>
            </w:r>
            <w:r w:rsidR="00565EA8">
              <w:rPr>
                <w:webHidden/>
              </w:rPr>
              <w:fldChar w:fldCharType="begin"/>
            </w:r>
            <w:r w:rsidR="00565EA8">
              <w:rPr>
                <w:webHidden/>
              </w:rPr>
              <w:instrText xml:space="preserve"> PAGEREF _Toc168210405 \h </w:instrText>
            </w:r>
            <w:r w:rsidR="00565EA8">
              <w:rPr>
                <w:webHidden/>
              </w:rPr>
            </w:r>
            <w:r w:rsidR="00565EA8">
              <w:rPr>
                <w:webHidden/>
              </w:rPr>
              <w:fldChar w:fldCharType="separate"/>
            </w:r>
            <w:r w:rsidR="00565EA8">
              <w:rPr>
                <w:webHidden/>
              </w:rPr>
              <w:t>78</w:t>
            </w:r>
            <w:r w:rsidR="00565EA8">
              <w:rPr>
                <w:webHidden/>
              </w:rPr>
              <w:fldChar w:fldCharType="end"/>
            </w:r>
          </w:hyperlink>
        </w:p>
        <w:p w14:paraId="65D64268" w14:textId="00E58A49" w:rsidR="00565EA8" w:rsidRDefault="001D5681">
          <w:pPr>
            <w:pStyle w:val="TOC2"/>
            <w:rPr>
              <w:rFonts w:asciiTheme="minorHAnsi" w:eastAsiaTheme="minorEastAsia" w:hAnsiTheme="minorHAnsi" w:cstheme="minorBidi"/>
              <w:b w:val="0"/>
              <w:bCs w:val="0"/>
              <w:color w:val="auto"/>
              <w:sz w:val="24"/>
              <w:szCs w:val="24"/>
            </w:rPr>
          </w:pPr>
          <w:hyperlink w:anchor="_Toc168210406" w:history="1">
            <w:r w:rsidR="00565EA8" w:rsidRPr="00D67348">
              <w:rPr>
                <w:rStyle w:val="Hyperlink"/>
              </w:rPr>
              <w:t>13.3 Technology Adoption and Digital Transformation</w:t>
            </w:r>
            <w:r w:rsidR="00565EA8">
              <w:rPr>
                <w:webHidden/>
              </w:rPr>
              <w:tab/>
            </w:r>
            <w:r w:rsidR="00565EA8">
              <w:rPr>
                <w:webHidden/>
              </w:rPr>
              <w:fldChar w:fldCharType="begin"/>
            </w:r>
            <w:r w:rsidR="00565EA8">
              <w:rPr>
                <w:webHidden/>
              </w:rPr>
              <w:instrText xml:space="preserve"> PAGEREF _Toc168210406 \h </w:instrText>
            </w:r>
            <w:r w:rsidR="00565EA8">
              <w:rPr>
                <w:webHidden/>
              </w:rPr>
            </w:r>
            <w:r w:rsidR="00565EA8">
              <w:rPr>
                <w:webHidden/>
              </w:rPr>
              <w:fldChar w:fldCharType="separate"/>
            </w:r>
            <w:r w:rsidR="00565EA8">
              <w:rPr>
                <w:webHidden/>
              </w:rPr>
              <w:t>79</w:t>
            </w:r>
            <w:r w:rsidR="00565EA8">
              <w:rPr>
                <w:webHidden/>
              </w:rPr>
              <w:fldChar w:fldCharType="end"/>
            </w:r>
          </w:hyperlink>
        </w:p>
        <w:p w14:paraId="67BE77A1" w14:textId="17588AD4" w:rsidR="00565EA8" w:rsidRDefault="001D5681">
          <w:pPr>
            <w:pStyle w:val="TOC2"/>
            <w:rPr>
              <w:rFonts w:asciiTheme="minorHAnsi" w:eastAsiaTheme="minorEastAsia" w:hAnsiTheme="minorHAnsi" w:cstheme="minorBidi"/>
              <w:b w:val="0"/>
              <w:bCs w:val="0"/>
              <w:color w:val="auto"/>
              <w:sz w:val="24"/>
              <w:szCs w:val="24"/>
            </w:rPr>
          </w:pPr>
          <w:hyperlink w:anchor="_Toc168210407" w:history="1">
            <w:r w:rsidR="00565EA8" w:rsidRPr="00D67348">
              <w:rPr>
                <w:rStyle w:val="Hyperlink"/>
              </w:rPr>
              <w:t>13.4 Challenges and Considerations</w:t>
            </w:r>
            <w:r w:rsidR="00565EA8">
              <w:rPr>
                <w:webHidden/>
              </w:rPr>
              <w:tab/>
            </w:r>
            <w:r w:rsidR="00565EA8">
              <w:rPr>
                <w:webHidden/>
              </w:rPr>
              <w:fldChar w:fldCharType="begin"/>
            </w:r>
            <w:r w:rsidR="00565EA8">
              <w:rPr>
                <w:webHidden/>
              </w:rPr>
              <w:instrText xml:space="preserve"> PAGEREF _Toc168210407 \h </w:instrText>
            </w:r>
            <w:r w:rsidR="00565EA8">
              <w:rPr>
                <w:webHidden/>
              </w:rPr>
            </w:r>
            <w:r w:rsidR="00565EA8">
              <w:rPr>
                <w:webHidden/>
              </w:rPr>
              <w:fldChar w:fldCharType="separate"/>
            </w:r>
            <w:r w:rsidR="00565EA8">
              <w:rPr>
                <w:webHidden/>
              </w:rPr>
              <w:t>79</w:t>
            </w:r>
            <w:r w:rsidR="00565EA8">
              <w:rPr>
                <w:webHidden/>
              </w:rPr>
              <w:fldChar w:fldCharType="end"/>
            </w:r>
          </w:hyperlink>
        </w:p>
        <w:p w14:paraId="11005241" w14:textId="3DF78D70"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408" w:history="1">
            <w:r w:rsidR="00565EA8" w:rsidRPr="00D67348">
              <w:rPr>
                <w:rStyle w:val="Hyperlink"/>
                <w:bCs/>
              </w:rPr>
              <w:t>Discussion</w:t>
            </w:r>
            <w:r w:rsidR="00565EA8">
              <w:rPr>
                <w:webHidden/>
              </w:rPr>
              <w:tab/>
            </w:r>
            <w:r w:rsidR="00565EA8">
              <w:rPr>
                <w:webHidden/>
              </w:rPr>
              <w:fldChar w:fldCharType="begin"/>
            </w:r>
            <w:r w:rsidR="00565EA8">
              <w:rPr>
                <w:webHidden/>
              </w:rPr>
              <w:instrText xml:space="preserve"> PAGEREF _Toc168210408 \h </w:instrText>
            </w:r>
            <w:r w:rsidR="00565EA8">
              <w:rPr>
                <w:webHidden/>
              </w:rPr>
            </w:r>
            <w:r w:rsidR="00565EA8">
              <w:rPr>
                <w:webHidden/>
              </w:rPr>
              <w:fldChar w:fldCharType="separate"/>
            </w:r>
            <w:r w:rsidR="00565EA8">
              <w:rPr>
                <w:webHidden/>
              </w:rPr>
              <w:t>80</w:t>
            </w:r>
            <w:r w:rsidR="00565EA8">
              <w:rPr>
                <w:webHidden/>
              </w:rPr>
              <w:fldChar w:fldCharType="end"/>
            </w:r>
          </w:hyperlink>
        </w:p>
        <w:p w14:paraId="54603744" w14:textId="761A5639"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409" w:history="1">
            <w:r w:rsidR="00565EA8" w:rsidRPr="00D67348">
              <w:rPr>
                <w:rStyle w:val="Hyperlink"/>
                <w:bCs/>
              </w:rPr>
              <w:t>Conclusion</w:t>
            </w:r>
            <w:r w:rsidR="00565EA8">
              <w:rPr>
                <w:webHidden/>
              </w:rPr>
              <w:tab/>
            </w:r>
            <w:r w:rsidR="00565EA8">
              <w:rPr>
                <w:webHidden/>
              </w:rPr>
              <w:fldChar w:fldCharType="begin"/>
            </w:r>
            <w:r w:rsidR="00565EA8">
              <w:rPr>
                <w:webHidden/>
              </w:rPr>
              <w:instrText xml:space="preserve"> PAGEREF _Toc168210409 \h </w:instrText>
            </w:r>
            <w:r w:rsidR="00565EA8">
              <w:rPr>
                <w:webHidden/>
              </w:rPr>
            </w:r>
            <w:r w:rsidR="00565EA8">
              <w:rPr>
                <w:webHidden/>
              </w:rPr>
              <w:fldChar w:fldCharType="separate"/>
            </w:r>
            <w:r w:rsidR="00565EA8">
              <w:rPr>
                <w:webHidden/>
              </w:rPr>
              <w:t>82</w:t>
            </w:r>
            <w:r w:rsidR="00565EA8">
              <w:rPr>
                <w:webHidden/>
              </w:rPr>
              <w:fldChar w:fldCharType="end"/>
            </w:r>
          </w:hyperlink>
        </w:p>
        <w:p w14:paraId="0A3519A0" w14:textId="7AB8C3AB"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410" w:history="1">
            <w:r w:rsidR="00565EA8" w:rsidRPr="00D67348">
              <w:rPr>
                <w:rStyle w:val="Hyperlink"/>
                <w:bCs/>
              </w:rPr>
              <w:t>References:</w:t>
            </w:r>
            <w:r w:rsidR="00565EA8">
              <w:rPr>
                <w:webHidden/>
              </w:rPr>
              <w:tab/>
            </w:r>
            <w:r w:rsidR="00565EA8">
              <w:rPr>
                <w:webHidden/>
              </w:rPr>
              <w:fldChar w:fldCharType="begin"/>
            </w:r>
            <w:r w:rsidR="00565EA8">
              <w:rPr>
                <w:webHidden/>
              </w:rPr>
              <w:instrText xml:space="preserve"> PAGEREF _Toc168210410 \h </w:instrText>
            </w:r>
            <w:r w:rsidR="00565EA8">
              <w:rPr>
                <w:webHidden/>
              </w:rPr>
            </w:r>
            <w:r w:rsidR="00565EA8">
              <w:rPr>
                <w:webHidden/>
              </w:rPr>
              <w:fldChar w:fldCharType="separate"/>
            </w:r>
            <w:r w:rsidR="00565EA8">
              <w:rPr>
                <w:webHidden/>
              </w:rPr>
              <w:t>83</w:t>
            </w:r>
            <w:r w:rsidR="00565EA8">
              <w:rPr>
                <w:webHidden/>
              </w:rPr>
              <w:fldChar w:fldCharType="end"/>
            </w:r>
          </w:hyperlink>
        </w:p>
        <w:p w14:paraId="3224D483" w14:textId="70C4A11C"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411" w:history="1">
            <w:r w:rsidR="00565EA8" w:rsidRPr="00D67348">
              <w:rPr>
                <w:rStyle w:val="Hyperlink"/>
                <w:bCs/>
              </w:rPr>
              <w:t>Training and Implementation Plan for Dynamic Value Networks (DVN) Theory</w:t>
            </w:r>
            <w:r w:rsidR="00565EA8">
              <w:rPr>
                <w:webHidden/>
              </w:rPr>
              <w:tab/>
            </w:r>
            <w:r w:rsidR="00565EA8">
              <w:rPr>
                <w:webHidden/>
              </w:rPr>
              <w:fldChar w:fldCharType="begin"/>
            </w:r>
            <w:r w:rsidR="00565EA8">
              <w:rPr>
                <w:webHidden/>
              </w:rPr>
              <w:instrText xml:space="preserve"> PAGEREF _Toc168210411 \h </w:instrText>
            </w:r>
            <w:r w:rsidR="00565EA8">
              <w:rPr>
                <w:webHidden/>
              </w:rPr>
            </w:r>
            <w:r w:rsidR="00565EA8">
              <w:rPr>
                <w:webHidden/>
              </w:rPr>
              <w:fldChar w:fldCharType="separate"/>
            </w:r>
            <w:r w:rsidR="00565EA8">
              <w:rPr>
                <w:webHidden/>
              </w:rPr>
              <w:t>85</w:t>
            </w:r>
            <w:r w:rsidR="00565EA8">
              <w:rPr>
                <w:webHidden/>
              </w:rPr>
              <w:fldChar w:fldCharType="end"/>
            </w:r>
          </w:hyperlink>
        </w:p>
        <w:p w14:paraId="49F960B5" w14:textId="4DB3197D" w:rsidR="00565EA8" w:rsidRDefault="001D5681">
          <w:pPr>
            <w:pStyle w:val="TOC1"/>
            <w:rPr>
              <w:rFonts w:asciiTheme="minorHAnsi" w:eastAsiaTheme="minorEastAsia" w:hAnsiTheme="minorHAnsi" w:cstheme="minorBidi"/>
              <w:color w:val="auto"/>
              <w:kern w:val="2"/>
              <w:sz w:val="24"/>
              <w:szCs w:val="24"/>
              <w14:ligatures w14:val="standardContextual"/>
            </w:rPr>
          </w:pPr>
          <w:hyperlink w:anchor="_Toc168210412" w:history="1">
            <w:r w:rsidR="00565EA8" w:rsidRPr="00D67348">
              <w:rPr>
                <w:rStyle w:val="Hyperlink"/>
                <w:bCs/>
              </w:rPr>
              <w:t>Keywords for Dynamic Value Networks (DVN) Theory:</w:t>
            </w:r>
            <w:r w:rsidR="00565EA8">
              <w:rPr>
                <w:webHidden/>
              </w:rPr>
              <w:tab/>
            </w:r>
            <w:r w:rsidR="00565EA8">
              <w:rPr>
                <w:webHidden/>
              </w:rPr>
              <w:fldChar w:fldCharType="begin"/>
            </w:r>
            <w:r w:rsidR="00565EA8">
              <w:rPr>
                <w:webHidden/>
              </w:rPr>
              <w:instrText xml:space="preserve"> PAGEREF _Toc168210412 \h </w:instrText>
            </w:r>
            <w:r w:rsidR="00565EA8">
              <w:rPr>
                <w:webHidden/>
              </w:rPr>
            </w:r>
            <w:r w:rsidR="00565EA8">
              <w:rPr>
                <w:webHidden/>
              </w:rPr>
              <w:fldChar w:fldCharType="separate"/>
            </w:r>
            <w:r w:rsidR="00565EA8">
              <w:rPr>
                <w:webHidden/>
              </w:rPr>
              <w:t>88</w:t>
            </w:r>
            <w:r w:rsidR="00565EA8">
              <w:rPr>
                <w:webHidden/>
              </w:rPr>
              <w:fldChar w:fldCharType="end"/>
            </w:r>
          </w:hyperlink>
        </w:p>
        <w:p w14:paraId="7EFFE5A7" w14:textId="0614DE32" w:rsidR="00565EA8" w:rsidRDefault="001D5681">
          <w:pPr>
            <w:pStyle w:val="TOC2"/>
            <w:rPr>
              <w:rFonts w:asciiTheme="minorHAnsi" w:eastAsiaTheme="minorEastAsia" w:hAnsiTheme="minorHAnsi" w:cstheme="minorBidi"/>
              <w:b w:val="0"/>
              <w:bCs w:val="0"/>
              <w:color w:val="auto"/>
              <w:sz w:val="24"/>
              <w:szCs w:val="24"/>
            </w:rPr>
          </w:pPr>
          <w:hyperlink w:anchor="_Toc168210413" w:history="1">
            <w:r w:rsidR="00565EA8" w:rsidRPr="00D67348">
              <w:rPr>
                <w:rStyle w:val="Hyperlink"/>
              </w:rPr>
              <w:t>Professionals in Business Journal - 2024 Q2: Issue 4 (THEORIES) Wrap up.</w:t>
            </w:r>
            <w:r w:rsidR="00565EA8">
              <w:rPr>
                <w:webHidden/>
              </w:rPr>
              <w:tab/>
            </w:r>
            <w:r w:rsidR="00565EA8">
              <w:rPr>
                <w:webHidden/>
              </w:rPr>
              <w:fldChar w:fldCharType="begin"/>
            </w:r>
            <w:r w:rsidR="00565EA8">
              <w:rPr>
                <w:webHidden/>
              </w:rPr>
              <w:instrText xml:space="preserve"> PAGEREF _Toc168210413 \h </w:instrText>
            </w:r>
            <w:r w:rsidR="00565EA8">
              <w:rPr>
                <w:webHidden/>
              </w:rPr>
            </w:r>
            <w:r w:rsidR="00565EA8">
              <w:rPr>
                <w:webHidden/>
              </w:rPr>
              <w:fldChar w:fldCharType="separate"/>
            </w:r>
            <w:r w:rsidR="00565EA8">
              <w:rPr>
                <w:webHidden/>
              </w:rPr>
              <w:t>88</w:t>
            </w:r>
            <w:r w:rsidR="00565EA8">
              <w:rPr>
                <w:webHidden/>
              </w:rPr>
              <w:fldChar w:fldCharType="end"/>
            </w:r>
          </w:hyperlink>
        </w:p>
        <w:p w14:paraId="3A1A3912" w14:textId="4103C082" w:rsidR="00565EA8" w:rsidRDefault="001D5681">
          <w:pPr>
            <w:pStyle w:val="TOC3"/>
            <w:tabs>
              <w:tab w:val="right" w:leader="dot" w:pos="9350"/>
            </w:tabs>
            <w:rPr>
              <w:rFonts w:cstheme="minorBidi"/>
              <w:noProof/>
              <w:kern w:val="2"/>
              <w:sz w:val="24"/>
              <w:szCs w:val="24"/>
              <w14:ligatures w14:val="standardContextual"/>
            </w:rPr>
          </w:pPr>
          <w:hyperlink w:anchor="_Toc168210414" w:history="1">
            <w:r w:rsidR="00565EA8" w:rsidRPr="00D67348">
              <w:rPr>
                <w:rStyle w:val="Hyperlink"/>
                <w:rFonts w:ascii="Segoe UI" w:hAnsi="Segoe UI" w:cs="Segoe UI"/>
                <w:b/>
                <w:bCs/>
                <w:noProof/>
              </w:rPr>
              <w:t>Professionals in Business Journal - 2024 Q4: Theories Issue #4</w:t>
            </w:r>
            <w:r w:rsidR="00565EA8">
              <w:rPr>
                <w:noProof/>
                <w:webHidden/>
              </w:rPr>
              <w:tab/>
            </w:r>
            <w:r w:rsidR="00565EA8">
              <w:rPr>
                <w:noProof/>
                <w:webHidden/>
              </w:rPr>
              <w:fldChar w:fldCharType="begin"/>
            </w:r>
            <w:r w:rsidR="00565EA8">
              <w:rPr>
                <w:noProof/>
                <w:webHidden/>
              </w:rPr>
              <w:instrText xml:space="preserve"> PAGEREF _Toc168210414 \h </w:instrText>
            </w:r>
            <w:r w:rsidR="00565EA8">
              <w:rPr>
                <w:noProof/>
                <w:webHidden/>
              </w:rPr>
            </w:r>
            <w:r w:rsidR="00565EA8">
              <w:rPr>
                <w:noProof/>
                <w:webHidden/>
              </w:rPr>
              <w:fldChar w:fldCharType="separate"/>
            </w:r>
            <w:r w:rsidR="00565EA8">
              <w:rPr>
                <w:noProof/>
                <w:webHidden/>
              </w:rPr>
              <w:t>88</w:t>
            </w:r>
            <w:r w:rsidR="00565EA8">
              <w:rPr>
                <w:noProof/>
                <w:webHidden/>
              </w:rPr>
              <w:fldChar w:fldCharType="end"/>
            </w:r>
          </w:hyperlink>
        </w:p>
        <w:p w14:paraId="1B0C35B1" w14:textId="5448F166" w:rsidR="00565EA8" w:rsidRDefault="001D5681">
          <w:pPr>
            <w:pStyle w:val="TOC3"/>
            <w:tabs>
              <w:tab w:val="right" w:leader="dot" w:pos="9350"/>
            </w:tabs>
            <w:rPr>
              <w:rFonts w:cstheme="minorBidi"/>
              <w:noProof/>
              <w:kern w:val="2"/>
              <w:sz w:val="24"/>
              <w:szCs w:val="24"/>
              <w14:ligatures w14:val="standardContextual"/>
            </w:rPr>
          </w:pPr>
          <w:hyperlink w:anchor="_Toc168210415" w:history="1">
            <w:r w:rsidR="00565EA8" w:rsidRPr="00D67348">
              <w:rPr>
                <w:rStyle w:val="Hyperlink"/>
                <w:rFonts w:ascii="Segoe UI" w:hAnsi="Segoe UI" w:cs="Segoe UI"/>
                <w:b/>
                <w:bCs/>
                <w:noProof/>
              </w:rPr>
              <w:t>Exploring Universal Resilience Theory</w:t>
            </w:r>
            <w:r w:rsidR="00565EA8">
              <w:rPr>
                <w:noProof/>
                <w:webHidden/>
              </w:rPr>
              <w:tab/>
            </w:r>
            <w:r w:rsidR="00565EA8">
              <w:rPr>
                <w:noProof/>
                <w:webHidden/>
              </w:rPr>
              <w:fldChar w:fldCharType="begin"/>
            </w:r>
            <w:r w:rsidR="00565EA8">
              <w:rPr>
                <w:noProof/>
                <w:webHidden/>
              </w:rPr>
              <w:instrText xml:space="preserve"> PAGEREF _Toc168210415 \h </w:instrText>
            </w:r>
            <w:r w:rsidR="00565EA8">
              <w:rPr>
                <w:noProof/>
                <w:webHidden/>
              </w:rPr>
            </w:r>
            <w:r w:rsidR="00565EA8">
              <w:rPr>
                <w:noProof/>
                <w:webHidden/>
              </w:rPr>
              <w:fldChar w:fldCharType="separate"/>
            </w:r>
            <w:r w:rsidR="00565EA8">
              <w:rPr>
                <w:noProof/>
                <w:webHidden/>
              </w:rPr>
              <w:t>88</w:t>
            </w:r>
            <w:r w:rsidR="00565EA8">
              <w:rPr>
                <w:noProof/>
                <w:webHidden/>
              </w:rPr>
              <w:fldChar w:fldCharType="end"/>
            </w:r>
          </w:hyperlink>
        </w:p>
        <w:p w14:paraId="3E748C16" w14:textId="76978204" w:rsidR="00565EA8" w:rsidRDefault="001D5681">
          <w:pPr>
            <w:pStyle w:val="TOC3"/>
            <w:tabs>
              <w:tab w:val="right" w:leader="dot" w:pos="9350"/>
            </w:tabs>
            <w:rPr>
              <w:rFonts w:cstheme="minorBidi"/>
              <w:noProof/>
              <w:kern w:val="2"/>
              <w:sz w:val="24"/>
              <w:szCs w:val="24"/>
              <w14:ligatures w14:val="standardContextual"/>
            </w:rPr>
          </w:pPr>
          <w:hyperlink w:anchor="_Toc168210416" w:history="1">
            <w:r w:rsidR="00565EA8" w:rsidRPr="00D67348">
              <w:rPr>
                <w:rStyle w:val="Hyperlink"/>
                <w:rFonts w:ascii="Segoe UI" w:hAnsi="Segoe UI" w:cs="Segoe UI"/>
                <w:b/>
                <w:bCs/>
                <w:noProof/>
              </w:rPr>
              <w:t>Understanding Dynamic Value Networks Theory</w:t>
            </w:r>
            <w:r w:rsidR="00565EA8">
              <w:rPr>
                <w:noProof/>
                <w:webHidden/>
              </w:rPr>
              <w:tab/>
            </w:r>
            <w:r w:rsidR="00565EA8">
              <w:rPr>
                <w:noProof/>
                <w:webHidden/>
              </w:rPr>
              <w:fldChar w:fldCharType="begin"/>
            </w:r>
            <w:r w:rsidR="00565EA8">
              <w:rPr>
                <w:noProof/>
                <w:webHidden/>
              </w:rPr>
              <w:instrText xml:space="preserve"> PAGEREF _Toc168210416 \h </w:instrText>
            </w:r>
            <w:r w:rsidR="00565EA8">
              <w:rPr>
                <w:noProof/>
                <w:webHidden/>
              </w:rPr>
            </w:r>
            <w:r w:rsidR="00565EA8">
              <w:rPr>
                <w:noProof/>
                <w:webHidden/>
              </w:rPr>
              <w:fldChar w:fldCharType="separate"/>
            </w:r>
            <w:r w:rsidR="00565EA8">
              <w:rPr>
                <w:noProof/>
                <w:webHidden/>
              </w:rPr>
              <w:t>89</w:t>
            </w:r>
            <w:r w:rsidR="00565EA8">
              <w:rPr>
                <w:noProof/>
                <w:webHidden/>
              </w:rPr>
              <w:fldChar w:fldCharType="end"/>
            </w:r>
          </w:hyperlink>
        </w:p>
        <w:p w14:paraId="182EF818" w14:textId="6A3A2016" w:rsidR="00565EA8" w:rsidRDefault="001D5681">
          <w:pPr>
            <w:pStyle w:val="TOC3"/>
            <w:tabs>
              <w:tab w:val="right" w:leader="dot" w:pos="9350"/>
            </w:tabs>
            <w:rPr>
              <w:rFonts w:cstheme="minorBidi"/>
              <w:noProof/>
              <w:kern w:val="2"/>
              <w:sz w:val="24"/>
              <w:szCs w:val="24"/>
              <w14:ligatures w14:val="standardContextual"/>
            </w:rPr>
          </w:pPr>
          <w:hyperlink w:anchor="_Toc168210417" w:history="1">
            <w:r w:rsidR="00565EA8" w:rsidRPr="00D67348">
              <w:rPr>
                <w:rStyle w:val="Hyperlink"/>
                <w:rFonts w:ascii="Segoe UI" w:hAnsi="Segoe UI" w:cs="Segoe UI"/>
                <w:b/>
                <w:bCs/>
                <w:noProof/>
              </w:rPr>
              <w:t>Supporting LAPPSE Memorial Fund</w:t>
            </w:r>
            <w:r w:rsidR="00565EA8">
              <w:rPr>
                <w:noProof/>
                <w:webHidden/>
              </w:rPr>
              <w:tab/>
            </w:r>
            <w:r w:rsidR="00565EA8">
              <w:rPr>
                <w:noProof/>
                <w:webHidden/>
              </w:rPr>
              <w:fldChar w:fldCharType="begin"/>
            </w:r>
            <w:r w:rsidR="00565EA8">
              <w:rPr>
                <w:noProof/>
                <w:webHidden/>
              </w:rPr>
              <w:instrText xml:space="preserve"> PAGEREF _Toc168210417 \h </w:instrText>
            </w:r>
            <w:r w:rsidR="00565EA8">
              <w:rPr>
                <w:noProof/>
                <w:webHidden/>
              </w:rPr>
            </w:r>
            <w:r w:rsidR="00565EA8">
              <w:rPr>
                <w:noProof/>
                <w:webHidden/>
              </w:rPr>
              <w:fldChar w:fldCharType="separate"/>
            </w:r>
            <w:r w:rsidR="00565EA8">
              <w:rPr>
                <w:noProof/>
                <w:webHidden/>
              </w:rPr>
              <w:t>89</w:t>
            </w:r>
            <w:r w:rsidR="00565EA8">
              <w:rPr>
                <w:noProof/>
                <w:webHidden/>
              </w:rPr>
              <w:fldChar w:fldCharType="end"/>
            </w:r>
          </w:hyperlink>
        </w:p>
        <w:p w14:paraId="5CF06ADD" w14:textId="0957D0B3" w:rsidR="00565EA8" w:rsidRDefault="001D5681">
          <w:pPr>
            <w:pStyle w:val="TOC3"/>
            <w:tabs>
              <w:tab w:val="right" w:leader="dot" w:pos="9350"/>
            </w:tabs>
            <w:rPr>
              <w:rFonts w:cstheme="minorBidi"/>
              <w:noProof/>
              <w:kern w:val="2"/>
              <w:sz w:val="24"/>
              <w:szCs w:val="24"/>
              <w14:ligatures w14:val="standardContextual"/>
            </w:rPr>
          </w:pPr>
          <w:hyperlink w:anchor="_Toc168210418" w:history="1">
            <w:r w:rsidR="00565EA8" w:rsidRPr="00D67348">
              <w:rPr>
                <w:rStyle w:val="Hyperlink"/>
                <w:rFonts w:ascii="Segoe UI" w:hAnsi="Segoe UI" w:cs="Segoe UI"/>
                <w:b/>
                <w:bCs/>
                <w:noProof/>
              </w:rPr>
              <w:t>Stay Connected</w:t>
            </w:r>
            <w:r w:rsidR="00565EA8">
              <w:rPr>
                <w:noProof/>
                <w:webHidden/>
              </w:rPr>
              <w:tab/>
            </w:r>
            <w:r w:rsidR="00565EA8">
              <w:rPr>
                <w:noProof/>
                <w:webHidden/>
              </w:rPr>
              <w:fldChar w:fldCharType="begin"/>
            </w:r>
            <w:r w:rsidR="00565EA8">
              <w:rPr>
                <w:noProof/>
                <w:webHidden/>
              </w:rPr>
              <w:instrText xml:space="preserve"> PAGEREF _Toc168210418 \h </w:instrText>
            </w:r>
            <w:r w:rsidR="00565EA8">
              <w:rPr>
                <w:noProof/>
                <w:webHidden/>
              </w:rPr>
            </w:r>
            <w:r w:rsidR="00565EA8">
              <w:rPr>
                <w:noProof/>
                <w:webHidden/>
              </w:rPr>
              <w:fldChar w:fldCharType="separate"/>
            </w:r>
            <w:r w:rsidR="00565EA8">
              <w:rPr>
                <w:noProof/>
                <w:webHidden/>
              </w:rPr>
              <w:t>89</w:t>
            </w:r>
            <w:r w:rsidR="00565EA8">
              <w:rPr>
                <w:noProof/>
                <w:webHidden/>
              </w:rPr>
              <w:fldChar w:fldCharType="end"/>
            </w:r>
          </w:hyperlink>
        </w:p>
        <w:p w14:paraId="0E407854" w14:textId="2E9A9ECA" w:rsidR="00565EA8" w:rsidRDefault="001D5681">
          <w:pPr>
            <w:pStyle w:val="TOC3"/>
            <w:tabs>
              <w:tab w:val="right" w:leader="dot" w:pos="9350"/>
            </w:tabs>
            <w:rPr>
              <w:rFonts w:cstheme="minorBidi"/>
              <w:noProof/>
              <w:kern w:val="2"/>
              <w:sz w:val="24"/>
              <w:szCs w:val="24"/>
              <w14:ligatures w14:val="standardContextual"/>
            </w:rPr>
          </w:pPr>
          <w:hyperlink w:anchor="_Toc168210419" w:history="1">
            <w:r w:rsidR="00565EA8" w:rsidRPr="00D67348">
              <w:rPr>
                <w:rStyle w:val="Hyperlink"/>
                <w:rFonts w:ascii="Segoe UI" w:hAnsi="Segoe UI" w:cs="Segoe UI"/>
                <w:b/>
                <w:bCs/>
                <w:noProof/>
              </w:rPr>
              <w:t>End Note</w:t>
            </w:r>
            <w:r w:rsidR="00565EA8">
              <w:rPr>
                <w:noProof/>
                <w:webHidden/>
              </w:rPr>
              <w:tab/>
            </w:r>
            <w:r w:rsidR="00565EA8">
              <w:rPr>
                <w:noProof/>
                <w:webHidden/>
              </w:rPr>
              <w:fldChar w:fldCharType="begin"/>
            </w:r>
            <w:r w:rsidR="00565EA8">
              <w:rPr>
                <w:noProof/>
                <w:webHidden/>
              </w:rPr>
              <w:instrText xml:space="preserve"> PAGEREF _Toc168210419 \h </w:instrText>
            </w:r>
            <w:r w:rsidR="00565EA8">
              <w:rPr>
                <w:noProof/>
                <w:webHidden/>
              </w:rPr>
            </w:r>
            <w:r w:rsidR="00565EA8">
              <w:rPr>
                <w:noProof/>
                <w:webHidden/>
              </w:rPr>
              <w:fldChar w:fldCharType="separate"/>
            </w:r>
            <w:r w:rsidR="00565EA8">
              <w:rPr>
                <w:noProof/>
                <w:webHidden/>
              </w:rPr>
              <w:t>90</w:t>
            </w:r>
            <w:r w:rsidR="00565EA8">
              <w:rPr>
                <w:noProof/>
                <w:webHidden/>
              </w:rPr>
              <w:fldChar w:fldCharType="end"/>
            </w:r>
          </w:hyperlink>
        </w:p>
        <w:p w14:paraId="637C7A84" w14:textId="5A54F266" w:rsidR="00886009" w:rsidRPr="0009687E" w:rsidRDefault="00886009" w:rsidP="00886009">
          <w:pPr>
            <w:rPr>
              <w:rFonts w:asciiTheme="majorHAnsi" w:hAnsiTheme="majorHAnsi"/>
              <w:bCs/>
              <w:sz w:val="24"/>
              <w:szCs w:val="24"/>
            </w:rPr>
          </w:pPr>
          <w:r w:rsidRPr="0009687E">
            <w:rPr>
              <w:rFonts w:asciiTheme="majorHAnsi" w:hAnsiTheme="majorHAnsi"/>
              <w:bCs/>
              <w:noProof/>
              <w:sz w:val="24"/>
              <w:szCs w:val="24"/>
            </w:rPr>
            <w:fldChar w:fldCharType="end"/>
          </w:r>
        </w:p>
      </w:sdtContent>
    </w:sdt>
    <w:p w14:paraId="782B2371" w14:textId="77777777" w:rsidR="00684B9C" w:rsidRPr="00684B9C" w:rsidRDefault="00BC6C81" w:rsidP="00886009">
      <w:pPr>
        <w:pStyle w:val="Heading1"/>
        <w:rPr>
          <w:b/>
          <w:sz w:val="24"/>
          <w:szCs w:val="24"/>
        </w:rPr>
      </w:pPr>
      <w:bookmarkStart w:id="14" w:name="_Toc168210185"/>
      <w:bookmarkStart w:id="15" w:name="_Toc168210341"/>
      <w:r w:rsidRPr="00684B9C">
        <w:rPr>
          <w:b/>
          <w:sz w:val="24"/>
          <w:szCs w:val="24"/>
        </w:rPr>
        <w:t>UNIVERSAL RESILIENCE THEORY</w:t>
      </w:r>
      <w:bookmarkEnd w:id="14"/>
      <w:bookmarkEnd w:id="15"/>
    </w:p>
    <w:p w14:paraId="3974FA3D" w14:textId="39CBBFC9" w:rsidR="00886009" w:rsidRPr="0009687E" w:rsidRDefault="00657868" w:rsidP="00886009">
      <w:pPr>
        <w:pStyle w:val="Heading1"/>
        <w:rPr>
          <w:bCs/>
          <w:sz w:val="24"/>
          <w:szCs w:val="24"/>
        </w:rPr>
      </w:pPr>
      <w:bookmarkStart w:id="16" w:name="_Toc168210186"/>
      <w:bookmarkStart w:id="17" w:name="_Toc168210342"/>
      <w:r>
        <w:rPr>
          <w:bCs/>
          <w:noProof/>
          <w:sz w:val="24"/>
          <w:szCs w:val="24"/>
        </w:rPr>
        <w:drawing>
          <wp:inline distT="0" distB="0" distL="0" distR="0" wp14:anchorId="0F3E2D7D" wp14:editId="271F025D">
            <wp:extent cx="5968538" cy="1514475"/>
            <wp:effectExtent l="0" t="0" r="0" b="0"/>
            <wp:docPr id="6099164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0806" cy="1517588"/>
                    </a:xfrm>
                    <a:prstGeom prst="rect">
                      <a:avLst/>
                    </a:prstGeom>
                    <a:noFill/>
                  </pic:spPr>
                </pic:pic>
              </a:graphicData>
            </a:graphic>
          </wp:inline>
        </w:drawing>
      </w:r>
      <w:r w:rsidR="00886009" w:rsidRPr="0009687E">
        <w:rPr>
          <w:bCs/>
          <w:sz w:val="24"/>
          <w:szCs w:val="24"/>
        </w:rPr>
        <w:br/>
      </w:r>
      <w:r w:rsidR="00886009" w:rsidRPr="0009687E">
        <w:rPr>
          <w:bCs/>
          <w:sz w:val="24"/>
          <w:szCs w:val="24"/>
        </w:rPr>
        <w:br/>
        <w:t>Abstract:</w:t>
      </w:r>
      <w:bookmarkEnd w:id="16"/>
      <w:bookmarkEnd w:id="17"/>
    </w:p>
    <w:p w14:paraId="57B0B94B"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Segoe UI"/>
          <w:bCs/>
          <w:color w:val="0D0D0D"/>
        </w:rPr>
      </w:pPr>
      <w:r w:rsidRPr="0009687E">
        <w:rPr>
          <w:rFonts w:asciiTheme="majorHAnsi" w:hAnsiTheme="majorHAnsi" w:cs="Segoe UI"/>
          <w:bCs/>
          <w:color w:val="0D0D0D"/>
        </w:rPr>
        <w:t>Universal Resilience Theory (URT) presents a comprehensive framework aimed at understanding and promoting resilience across diverse individuals, communities, and contexts. Grounded in the recognition of resilience as a universal human trait, URT transcends demographic differences and contextual variations to provide a holistic understanding of adaptive coping and recovery from adversity. Drawing from multidisciplinary perspectives, including psychology, sociology, education, and public health, URT identifies common factors and processes that contribute to resilience, while also acknowledging the role of individual characteristics and contextual influences. This paper provides an overview of URT, highlighting its key concepts, theoretical foundations, and implications for research, practice, and policy. By elucidating the universality of resilience and offering practical insights into resilience promotion, URT aims to empower individuals and communities to navigate challenges with confidence, adaptability, and determination.</w:t>
      </w:r>
    </w:p>
    <w:p w14:paraId="31C168DC" w14:textId="77777777" w:rsidR="00886009" w:rsidRPr="0009687E" w:rsidRDefault="00886009" w:rsidP="00886009">
      <w:pPr>
        <w:pStyle w:val="Heading1"/>
        <w:rPr>
          <w:bCs/>
          <w:sz w:val="24"/>
          <w:szCs w:val="24"/>
        </w:rPr>
      </w:pPr>
      <w:bookmarkStart w:id="18" w:name="_Toc168210187"/>
      <w:bookmarkStart w:id="19" w:name="_Toc168210343"/>
      <w:r w:rsidRPr="0009687E">
        <w:rPr>
          <w:bCs/>
          <w:sz w:val="24"/>
          <w:szCs w:val="24"/>
        </w:rPr>
        <w:t>Hypothesis:</w:t>
      </w:r>
      <w:bookmarkEnd w:id="18"/>
      <w:bookmarkEnd w:id="19"/>
    </w:p>
    <w:p w14:paraId="63E08800"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ajorHAnsi" w:hAnsiTheme="majorHAnsi" w:cs="Segoe UI"/>
          <w:bCs/>
          <w:color w:val="0D0D0D"/>
        </w:rPr>
      </w:pPr>
      <w:r w:rsidRPr="0009687E">
        <w:rPr>
          <w:rFonts w:asciiTheme="majorHAnsi" w:hAnsiTheme="majorHAnsi" w:cs="Segoe UI"/>
          <w:bCs/>
          <w:color w:val="0D0D0D"/>
        </w:rPr>
        <w:t>The hypothesis of Universal Resilience Theory (URT) posits that resilience is a universal human trait that transcends individual differences and contextual variations. Specifically, URT suggests that there are common underlying factors and processes that contribute to resilience across diverse populations and settings. These factors may include cognitive, emotional, social, and environmental components that interact dynamically to shape individuals' ability to adapt and thrive in the face of adversity.</w:t>
      </w:r>
    </w:p>
    <w:p w14:paraId="37CE5E2A"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URT hypothesizes that resilience is not solely determined by external circumstances or individual characteristics but is instead influenced by the interaction between the two. It proposes that while individuals may exhibit varying levels of resilience due to factors such as age, culture, and socioeconomic status, there are fundamental aspects of resilience that are inherent to all humans.</w:t>
      </w:r>
    </w:p>
    <w:p w14:paraId="02FF35E5"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Furthermore, URT suggests that resilience is not a static trait but rather a dynamic process that evolves over time in response to changing circumstances and life experiences. It hypothesizes that individuals can enhance their resilience through proactive efforts such as developing coping skills, fostering social support networks, and cultivating a positive mindset.</w:t>
      </w:r>
    </w:p>
    <w:p w14:paraId="13C3545B"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Segoe UI"/>
          <w:bCs/>
          <w:color w:val="0D0D0D"/>
        </w:rPr>
      </w:pPr>
      <w:r w:rsidRPr="0009687E">
        <w:rPr>
          <w:rFonts w:asciiTheme="majorHAnsi" w:hAnsiTheme="majorHAnsi" w:cs="Segoe UI"/>
          <w:bCs/>
          <w:color w:val="0D0D0D"/>
        </w:rPr>
        <w:t>Overall, the hypothesis of URT underscores the universality of resilience while acknowledging the importance of individual and contextual factors in shaping resilience trajectories. It provides a framework for understanding resilience as a multifaceted phenomenon that manifests across diverse populations and contexts, informing interventions aimed at promoting well-being and fostering resilience at individual, community, and societal levels.</w:t>
      </w:r>
    </w:p>
    <w:p w14:paraId="4787E973"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Universal Resilience Theory (URT) addresses several key questions related to resilience across diverse populations and contexts. Some of the questions that URT seeks to answer include:</w:t>
      </w:r>
    </w:p>
    <w:p w14:paraId="4413A8B5" w14:textId="77777777" w:rsidR="00886009" w:rsidRPr="0009687E" w:rsidRDefault="00886009" w:rsidP="00886009">
      <w:pPr>
        <w:numPr>
          <w:ilvl w:val="0"/>
          <w:numId w:val="3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What are the common factors that contribute to resilience across different demographic groups, cultures, and socioeconomic backgrounds?</w:t>
      </w:r>
    </w:p>
    <w:p w14:paraId="413C0FFB" w14:textId="77777777" w:rsidR="00886009" w:rsidRPr="0009687E" w:rsidRDefault="00886009" w:rsidP="00886009">
      <w:pPr>
        <w:numPr>
          <w:ilvl w:val="0"/>
          <w:numId w:val="3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How do individuals develop resilience, and what are the underlying processes involved in adaptive coping and recovery from adversity?</w:t>
      </w:r>
    </w:p>
    <w:p w14:paraId="383DDD10" w14:textId="77777777" w:rsidR="00886009" w:rsidRPr="0009687E" w:rsidRDefault="00886009" w:rsidP="00886009">
      <w:pPr>
        <w:numPr>
          <w:ilvl w:val="0"/>
          <w:numId w:val="3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What role do individual characteristics, such as cognitive, emotional, and social traits, play in shaping resilience?</w:t>
      </w:r>
    </w:p>
    <w:p w14:paraId="3856703A" w14:textId="77777777" w:rsidR="00886009" w:rsidRPr="0009687E" w:rsidRDefault="00886009" w:rsidP="00886009">
      <w:pPr>
        <w:numPr>
          <w:ilvl w:val="0"/>
          <w:numId w:val="3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How do contextual factors, such as social support networks, cultural norms, and environmental resources, influence resilience trajectories?</w:t>
      </w:r>
    </w:p>
    <w:p w14:paraId="671C2A7F" w14:textId="77777777" w:rsidR="00886009" w:rsidRPr="0009687E" w:rsidRDefault="00886009" w:rsidP="00886009">
      <w:pPr>
        <w:numPr>
          <w:ilvl w:val="0"/>
          <w:numId w:val="3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What are the implications of resilience for well-being, mental health, and overall quality of life?</w:t>
      </w:r>
    </w:p>
    <w:p w14:paraId="3E974AA4" w14:textId="77777777" w:rsidR="00886009" w:rsidRPr="0009687E" w:rsidRDefault="00886009" w:rsidP="00886009">
      <w:pPr>
        <w:numPr>
          <w:ilvl w:val="0"/>
          <w:numId w:val="3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How can resilience be promoted and enhanced through interventions at individual, community, and societal levels?</w:t>
      </w:r>
    </w:p>
    <w:p w14:paraId="4D173CC2" w14:textId="77777777" w:rsidR="00886009" w:rsidRPr="0009687E" w:rsidRDefault="00886009" w:rsidP="00886009">
      <w:pPr>
        <w:numPr>
          <w:ilvl w:val="0"/>
          <w:numId w:val="3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What are the limitations of existing resilience frameworks, and how can URT provide a more comprehensive and inclusive understanding of resilience?</w:t>
      </w:r>
    </w:p>
    <w:p w14:paraId="0F82CDC0" w14:textId="77777777" w:rsidR="00886009" w:rsidRPr="0009687E" w:rsidRDefault="00886009" w:rsidP="00886009">
      <w:pPr>
        <w:numPr>
          <w:ilvl w:val="0"/>
          <w:numId w:val="3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How does resilience evolve over the lifespan, and what are the developmental processes involved in building resilience from childhood to late adulthood?</w:t>
      </w:r>
    </w:p>
    <w:p w14:paraId="281BE81D" w14:textId="77777777" w:rsidR="00886009" w:rsidRPr="0009687E" w:rsidRDefault="00886009" w:rsidP="00886009">
      <w:pPr>
        <w:numPr>
          <w:ilvl w:val="0"/>
          <w:numId w:val="3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How can organizations and communities foster resilience among their members, and what strategies are most effective in promoting adaptive coping and recovery?</w:t>
      </w:r>
    </w:p>
    <w:p w14:paraId="51A45E33" w14:textId="77777777" w:rsidR="00886009" w:rsidRPr="0009687E" w:rsidRDefault="00886009" w:rsidP="00886009">
      <w:pPr>
        <w:numPr>
          <w:ilvl w:val="0"/>
          <w:numId w:val="3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What are the implications of URT for policy development, program implementation, and intervention design aimed at promoting resilience and well-being across diverse populations and settings?</w:t>
      </w:r>
    </w:p>
    <w:p w14:paraId="29BEB72D"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By addressing these questions, URT aims to advance our understanding of resilience as a universal human trait and provide insights into how individuals, communities, and societies can thrive in the face of adversity.</w:t>
      </w:r>
    </w:p>
    <w:p w14:paraId="1485FB5D" w14:textId="77777777" w:rsidR="00886009" w:rsidRPr="0009687E" w:rsidRDefault="00886009" w:rsidP="00886009">
      <w:pPr>
        <w:pStyle w:val="Heading1"/>
        <w:rPr>
          <w:rFonts w:eastAsia="Times New Roman"/>
          <w:bCs/>
          <w:sz w:val="24"/>
          <w:szCs w:val="24"/>
        </w:rPr>
      </w:pPr>
      <w:bookmarkStart w:id="20" w:name="_Toc168210188"/>
      <w:bookmarkStart w:id="21" w:name="_Toc168210344"/>
      <w:r w:rsidRPr="0009687E">
        <w:rPr>
          <w:rFonts w:eastAsia="Times New Roman"/>
          <w:bCs/>
          <w:sz w:val="24"/>
          <w:szCs w:val="24"/>
          <w:bdr w:val="single" w:sz="2" w:space="0" w:color="E3E3E3" w:frame="1"/>
        </w:rPr>
        <w:t>Core Tenets</w:t>
      </w:r>
      <w:bookmarkEnd w:id="20"/>
      <w:bookmarkEnd w:id="21"/>
    </w:p>
    <w:p w14:paraId="7308D33B"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Human resilience, deeply ingrained in our evolutionary history, is a testament to the remarkable adaptive capabilities inherent within individuals. This resilience transcends demographic differences, cultural backgrounds, and environmental contexts, serving as a universal trait that underpins human survival and flourishing. Evolutionary psychologists posit that resilience is not merely a learned behavior but a fundamental aspect of human biology, honed over millennia of adaptation to changing environments and challenges.</w:t>
      </w:r>
    </w:p>
    <w:p w14:paraId="349C8455"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At its core, human resilience is rooted in our biological makeup, encompassing a myriad of factors ranging from genetic predispositions to neural plasticity and stress response mechanisms. These biological foundations equip individuals with the capacity to withstand and overcome adversity, enabling them to navigate life's challenges with resilience and fortitude. Moreover, social and cultural factors intricately shape resilience, influencing how individuals perceive and respond to adverse circumstances.</w:t>
      </w:r>
    </w:p>
    <w:p w14:paraId="738D7B21"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For business professionals, recognizing and harnessing this inherent resilience is paramount for navigating the complexities of a dynamic business environment. It entails tapping into innate strengths such as problem-solving skills, emotional intelligence, and perseverance to overcome obstacles and achieve organizational goals. By acknowledging the innate resilience within themselves and their teams, business leaders can cultivate a culture of resilience that fosters adaptability, innovation, and sustainable success.</w:t>
      </w:r>
    </w:p>
    <w:p w14:paraId="15B9A16B" w14:textId="77777777" w:rsidR="00886009" w:rsidRPr="0009687E" w:rsidRDefault="00886009" w:rsidP="00886009">
      <w:pPr>
        <w:pStyle w:val="Heading1"/>
        <w:rPr>
          <w:bCs/>
          <w:sz w:val="24"/>
          <w:szCs w:val="24"/>
        </w:rPr>
      </w:pPr>
      <w:bookmarkStart w:id="22" w:name="_Toc168210189"/>
      <w:bookmarkStart w:id="23" w:name="_Toc168210345"/>
      <w:r w:rsidRPr="0009687E">
        <w:rPr>
          <w:rStyle w:val="Strong"/>
          <w:rFonts w:cs="Segoe UI"/>
          <w:b w:val="0"/>
          <w:color w:val="0D0D0D"/>
          <w:sz w:val="24"/>
          <w:szCs w:val="24"/>
          <w:bdr w:val="single" w:sz="2" w:space="0" w:color="E3E3E3" w:frame="1"/>
        </w:rPr>
        <w:t>Adaptive Response to Adversity:</w:t>
      </w:r>
      <w:bookmarkEnd w:id="22"/>
      <w:bookmarkEnd w:id="23"/>
    </w:p>
    <w:p w14:paraId="0D72463D"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Resilience extends beyond mere resilience; it encompasses the ability to adapt and grow in response to adversity. Psychologists conceptualize resilience as a dynamic process characterized by cognitive, emotional, behavioral, and physiological responses to stressors. In the context of the business world, resilience entails developing adaptive coping strategies to navigate the ever-changing landscape of challenges and opportunities.</w:t>
      </w:r>
    </w:p>
    <w:p w14:paraId="73FD46C2"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Adaptive responses to adversity involve cognitive reappraisal, reframing challenges as opportunities for growth, and leveraging setbacks as learning experiences. Resilient individuals exhibit flexibility in their thinking and behavior, enabling them to pivot in response to evolving circumstances and capitalize on emerging opportunities. In today's rapidly evolving business environment, the ability to adapt and innovate is essential for maintaining competitiveness and driving long-term success.</w:t>
      </w:r>
    </w:p>
    <w:p w14:paraId="56906DF2"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Business professionals can cultivate resilience by fostering a growth mindset, embracing challenges as opportunities for learning and development, and fostering a supportive organizational culture that encourages risk-taking and experimentation. By embracing change and uncertainty as inherent aspects of the business landscape, professionals can position themselves for success in an increasingly volatile and unpredictable world.</w:t>
      </w:r>
    </w:p>
    <w:p w14:paraId="7DD6C549" w14:textId="77777777" w:rsidR="00886009" w:rsidRPr="0009687E" w:rsidRDefault="00886009" w:rsidP="00886009">
      <w:pPr>
        <w:pStyle w:val="Heading1"/>
        <w:rPr>
          <w:bCs/>
          <w:sz w:val="24"/>
          <w:szCs w:val="24"/>
        </w:rPr>
      </w:pPr>
      <w:bookmarkStart w:id="24" w:name="_Toc168210190"/>
      <w:bookmarkStart w:id="25" w:name="_Toc168210346"/>
      <w:r w:rsidRPr="0009687E">
        <w:rPr>
          <w:rStyle w:val="Strong"/>
          <w:rFonts w:cs="Segoe UI"/>
          <w:b w:val="0"/>
          <w:color w:val="0D0D0D"/>
          <w:sz w:val="24"/>
          <w:szCs w:val="24"/>
          <w:bdr w:val="single" w:sz="2" w:space="0" w:color="E3E3E3" w:frame="1"/>
        </w:rPr>
        <w:t>Dynamic Interplay of Factors:</w:t>
      </w:r>
      <w:bookmarkEnd w:id="24"/>
      <w:bookmarkEnd w:id="25"/>
    </w:p>
    <w:p w14:paraId="335B82B2"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Resilience emerges from the intricate interplay of individual characteristics, environmental resources, and situational factors. At the individual level, factors such as personality traits, coping styles, and self-efficacy profoundly influence resilience. Individuals with high levels of optimism, adaptability, and self-confidence are better equipped to navigate adversity and persevere in the face of challenges.</w:t>
      </w:r>
    </w:p>
    <w:p w14:paraId="58B1C632"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Environmental resources, including social support networks, economic opportunities, and access to education and healthcare, also play a pivotal role in fostering resilience. Business professionals can leverage these resources to cope with stressors and setbacks effectively, thereby enhancing their capacity to thrive in demanding environments. Additionally, situational factors such as the severity and duration of stressors, the presence of additional stressors, and the availability of coping resources shape individuals' resilience trajectories.</w:t>
      </w:r>
    </w:p>
    <w:p w14:paraId="370D5CB5"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Organizations can support employees' resilience by fostering a positive work environment, providing opportunities for skill development and growth, and promoting work-life balance. By investing in employee well-being and resilience, organizations can enhance productivity, morale, and organizational performance in the face of adversity.</w:t>
      </w:r>
    </w:p>
    <w:p w14:paraId="16AA5EDA" w14:textId="77777777" w:rsidR="00886009" w:rsidRPr="0009687E" w:rsidRDefault="00886009" w:rsidP="00886009">
      <w:pPr>
        <w:pStyle w:val="Heading1"/>
        <w:rPr>
          <w:bCs/>
          <w:sz w:val="24"/>
          <w:szCs w:val="24"/>
        </w:rPr>
      </w:pPr>
      <w:bookmarkStart w:id="26" w:name="_Toc168210191"/>
      <w:bookmarkStart w:id="27" w:name="_Toc168210347"/>
      <w:r w:rsidRPr="0009687E">
        <w:rPr>
          <w:rStyle w:val="Strong"/>
          <w:rFonts w:cs="Segoe UI"/>
          <w:b w:val="0"/>
          <w:color w:val="0D0D0D"/>
          <w:sz w:val="24"/>
          <w:szCs w:val="24"/>
          <w:bdr w:val="single" w:sz="2" w:space="0" w:color="E3E3E3" w:frame="1"/>
        </w:rPr>
        <w:t>Continuous Process of Development:</w:t>
      </w:r>
      <w:bookmarkEnd w:id="26"/>
      <w:bookmarkEnd w:id="27"/>
    </w:p>
    <w:p w14:paraId="21059588"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ajorHAnsi" w:hAnsiTheme="majorHAnsi" w:cs="Segoe UI"/>
          <w:bCs/>
          <w:color w:val="0D0D0D"/>
        </w:rPr>
      </w:pPr>
      <w:r w:rsidRPr="0009687E">
        <w:rPr>
          <w:rFonts w:asciiTheme="majorHAnsi" w:hAnsiTheme="majorHAnsi" w:cs="Segoe UI"/>
          <w:bCs/>
          <w:color w:val="0D0D0D"/>
        </w:rPr>
        <w:t>Resilience is not a fixed trait but a dynamic process that evolves over time. It entails ongoing learning, adaptation, and growth in response to changing circumstances and life experiences. Business professionals must recognize that resilience is not a static attribute but rather a skill that can be cultivated and strengthened through deliberate practice and continuous development efforts.</w:t>
      </w:r>
    </w:p>
    <w:p w14:paraId="6E464F0E"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Continuous resilience development requires a proactive approach to personal and professional growth. Business professionals can engage in a variety of activities to enhance their resilience capacities and foster a mindset of adaptability and resilience. One key strategy is self-reflection, which involves taking the time to assess one's strengths, weaknesses, and areas for improvement. By reflecting on past experiences and identifying lessons learned, individuals can gain valuable insights into their resilience capabilities and develop strategies for overcoming future challenges.</w:t>
      </w:r>
    </w:p>
    <w:p w14:paraId="1A53C553"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Goal setting is another effective way to promote resilience development. By setting clear, achievable goals, individuals can create a sense of purpose and direction in their lives, which can help them navigate adversity more effectively. Setting specific, measurable, and time-bound goals can also provide individuals with a sense of accomplishment and motivation as they work towards achieving their objectives.</w:t>
      </w:r>
    </w:p>
    <w:p w14:paraId="1AC5B0BC"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Skills development is also crucial for resilience building. Business professionals can invest in acquiring new skills and competencies that will help them adapt to changing circumstances and thrive in challenging environments. This may involve attending training programs, workshops, or seminars to learn new techniques and strategies for managing stress, building resilience, and enhancing emotional intelligence.</w:t>
      </w:r>
    </w:p>
    <w:p w14:paraId="2D19DCE3"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Moreover, organizations can play a vital role in supporting employees' resilience development. By offering training programs, coaching, and mentorship initiatives, organizations can provide employees with the tools and resources they need to enhance their resilience capacities and thrive in the face of adversity. Providing opportunities for employees to learn and grow, as well as offering support and encouragement, can help foster a culture of resilience within the organization.</w:t>
      </w:r>
    </w:p>
    <w:p w14:paraId="543BB9F8"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Additionally, organizations can create an environment that values and rewards resilience, recognizing and celebrating employees who demonstrate resilience in the face of challenges. By fostering a culture of resilience, organizations can empower their employees to navigate challenges effectively and achieve their full potential.</w:t>
      </w:r>
    </w:p>
    <w:p w14:paraId="125A4034"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Segoe UI"/>
          <w:bCs/>
          <w:color w:val="0D0D0D"/>
        </w:rPr>
      </w:pPr>
      <w:r w:rsidRPr="0009687E">
        <w:rPr>
          <w:rFonts w:asciiTheme="majorHAnsi" w:hAnsiTheme="majorHAnsi" w:cs="Segoe UI"/>
          <w:bCs/>
          <w:color w:val="0D0D0D"/>
        </w:rPr>
        <w:t>In conclusion, resilience is a dynamic process that requires continuous development and cultivation. By recognizing the importance of resilience and committing to ongoing growth and learning, business professionals can navigate challenges with confidence and emerge stronger and more resilient in the face of adversity. Through self-reflection, goal setting, skills development, and organizational support, individuals and organizations can foster a culture of resilience that enables them to thrive in today's fast-paced and uncertain world.</w:t>
      </w:r>
    </w:p>
    <w:p w14:paraId="2B5DCDF4" w14:textId="77777777" w:rsidR="00886009" w:rsidRPr="0009687E" w:rsidRDefault="00886009" w:rsidP="00886009">
      <w:pPr>
        <w:pStyle w:val="Heading1"/>
        <w:rPr>
          <w:rFonts w:eastAsia="Times New Roman"/>
          <w:bCs/>
          <w:sz w:val="24"/>
          <w:szCs w:val="24"/>
        </w:rPr>
      </w:pPr>
      <w:bookmarkStart w:id="28" w:name="_Toc168210192"/>
      <w:bookmarkStart w:id="29" w:name="_Toc168210348"/>
      <w:r w:rsidRPr="0009687E">
        <w:rPr>
          <w:rFonts w:eastAsia="Times New Roman"/>
          <w:bCs/>
          <w:sz w:val="24"/>
          <w:szCs w:val="24"/>
          <w:bdr w:val="single" w:sz="2" w:space="0" w:color="E3E3E3" w:frame="1"/>
        </w:rPr>
        <w:t>Key Components</w:t>
      </w:r>
      <w:bookmarkEnd w:id="28"/>
      <w:bookmarkEnd w:id="29"/>
    </w:p>
    <w:p w14:paraId="48B2D2EC" w14:textId="77777777" w:rsidR="00886009" w:rsidRPr="0009687E" w:rsidRDefault="00886009" w:rsidP="00886009">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Individual Characteristics</w:t>
      </w:r>
      <w:r w:rsidRPr="0009687E">
        <w:rPr>
          <w:rFonts w:asciiTheme="majorHAnsi" w:eastAsia="Times New Roman" w:hAnsiTheme="majorHAnsi" w:cs="Segoe UI"/>
          <w:bCs/>
          <w:color w:val="0D0D0D"/>
          <w:kern w:val="0"/>
          <w:sz w:val="24"/>
          <w:szCs w:val="24"/>
          <w14:ligatures w14:val="none"/>
        </w:rPr>
        <w:t>:</w:t>
      </w:r>
    </w:p>
    <w:p w14:paraId="0F5273F1"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ajorHAnsi" w:hAnsiTheme="majorHAnsi" w:cs="Segoe UI"/>
          <w:bCs/>
          <w:color w:val="0D0D0D"/>
        </w:rPr>
      </w:pPr>
      <w:r w:rsidRPr="0009687E">
        <w:rPr>
          <w:rFonts w:asciiTheme="majorHAnsi" w:hAnsiTheme="majorHAnsi" w:cs="Segoe UI"/>
          <w:bCs/>
          <w:color w:val="0D0D0D"/>
        </w:rPr>
        <w:t>Individual characteristics play a pivotal role in shaping resilience, especially in the context of business professionals navigating the complexities of the modern corporate landscape. Cultivating resilience entails developing key traits that empower individuals to adapt, persist, and thrive amidst challenges and uncertainties. These traits serve as foundational pillars upon which professionals can build their capacity to navigate adversity and achieve success in their personal and professional lives.</w:t>
      </w:r>
    </w:p>
    <w:p w14:paraId="69368D9C" w14:textId="77777777" w:rsidR="00886009" w:rsidRPr="0009687E" w:rsidRDefault="00886009" w:rsidP="00886009">
      <w:pPr>
        <w:pStyle w:val="NormalWeb"/>
        <w:numPr>
          <w:ilvl w:val="0"/>
          <w:numId w:val="2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Fonts w:asciiTheme="majorHAnsi" w:hAnsiTheme="majorHAnsi" w:cs="Segoe UI"/>
          <w:bCs/>
          <w:color w:val="0D0D0D"/>
        </w:rPr>
        <w:t>Cognitive Flexibility: Cognitive flexibility is the cornerstone of adaptive thinking and problem-solving. It encompasses the ability to quickly and effectively shift one's mindset and approach in response to changing circumstances or unexpected obstacles. In the dynamic and rapidly evolving business world, where unexpected challenges are the norm rather than the exception, cognitive flexibility is essential for making timely decisions, seizing opportunities, and overcoming obstacles. Business professionals with high levels of cognitive flexibility can assess situations from multiple perspectives, identify innovative solutions, and adapt their strategies to achieve desired outcomes.</w:t>
      </w:r>
    </w:p>
    <w:p w14:paraId="6CE38830" w14:textId="77777777" w:rsidR="00886009" w:rsidRPr="0009687E" w:rsidRDefault="00886009" w:rsidP="00886009">
      <w:pPr>
        <w:pStyle w:val="NormalWeb"/>
        <w:numPr>
          <w:ilvl w:val="0"/>
          <w:numId w:val="2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Fonts w:asciiTheme="majorHAnsi" w:hAnsiTheme="majorHAnsi" w:cs="Segoe UI"/>
          <w:bCs/>
          <w:color w:val="0D0D0D"/>
        </w:rPr>
        <w:t>Emotional Intelligence: Emotional intelligence (EI) is a critical competency that enables individuals to recognize, understand, and manage their own emotions and those of others. In the high-pressure environment of the business world, where interpersonal dynamics and emotional reactions can significantly impact decision-making and teamwork, EI is invaluable. Business professionals with high EI can effectively navigate interpersonal conflicts, build strong relationships, and inspire trust and collaboration among colleagues and stakeholders. By cultivating empathy, self-awareness, and emotional regulation, professionals can foster a positive work environment conducive to resilience and productivity.</w:t>
      </w:r>
    </w:p>
    <w:p w14:paraId="6FEC9691" w14:textId="77777777" w:rsidR="00886009" w:rsidRPr="0009687E" w:rsidRDefault="00886009" w:rsidP="00886009">
      <w:pPr>
        <w:pStyle w:val="NormalWeb"/>
        <w:numPr>
          <w:ilvl w:val="0"/>
          <w:numId w:val="2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Fonts w:asciiTheme="majorHAnsi" w:hAnsiTheme="majorHAnsi" w:cs="Segoe UI"/>
          <w:bCs/>
          <w:color w:val="0D0D0D"/>
        </w:rPr>
        <w:t>Perseverance: Perseverance, often synonymous with resilience itself, is the unwavering determination to persist in the pursuit of goals despite facing challenges, setbacks, or failures. In the face of adversity, business professionals with a strong sense of perseverance remain steadfast and resilient, refusing to be deterred by temporary setbacks or obstacles. They view challenges as opportunities for growth and learning, leveraging setbacks as valuable lessons that propel them forward rather than holding them back. By embracing a mindset of perseverance, professionals can maintain motivation, focus, and resilience in the face of adversity, ultimately achieving their long-term objectives.</w:t>
      </w:r>
    </w:p>
    <w:p w14:paraId="62591FB3" w14:textId="77777777" w:rsidR="00886009" w:rsidRPr="0009687E" w:rsidRDefault="00886009" w:rsidP="00886009">
      <w:pPr>
        <w:pStyle w:val="NormalWeb"/>
        <w:numPr>
          <w:ilvl w:val="0"/>
          <w:numId w:val="2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Fonts w:asciiTheme="majorHAnsi" w:hAnsiTheme="majorHAnsi" w:cs="Segoe UI"/>
          <w:bCs/>
          <w:color w:val="0D0D0D"/>
        </w:rPr>
        <w:t>Growth Mindset: A growth mindset is characterized by the belief that abilities and intelligence can be developed through effort, practice, and learning. Unlike a fixed mindset, which views talents and capabilities as inherent and unchangeable, a growth mindset embraces challenges and failures as opportunities for growth and improvement. Business professionals with a growth mindset approach obstacles with optimism, viewing setbacks as temporary setbacks rather than insurmountable barriers. They actively seek out feedback, engage in continuous learning, and embrace new opportunities for growth and development. By fostering a culture of learning and innovation, professionals can cultivate a growth mindset within themselves and their teams, empowering everyone to adapt, evolve, and thrive in an ever-changing business landscape.</w:t>
      </w:r>
    </w:p>
    <w:p w14:paraId="10220CF1"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Segoe UI"/>
          <w:bCs/>
          <w:color w:val="0D0D0D"/>
        </w:rPr>
      </w:pPr>
      <w:r w:rsidRPr="0009687E">
        <w:rPr>
          <w:rFonts w:asciiTheme="majorHAnsi" w:hAnsiTheme="majorHAnsi" w:cs="Segoe UI"/>
          <w:bCs/>
          <w:color w:val="0D0D0D"/>
        </w:rPr>
        <w:t>In summary, cultivating resilience among business professionals requires a multifaceted approach that encompasses the development of key individual characteristics such as cognitive flexibility, emotional intelligence, perseverance, and a growth mindset. By actively cultivating these traits, professionals can enhance their ability to navigate challenges, seize opportunities, and thrive in the face of adversity. Through ongoing self-reflection, learning, and practice, individuals can build a solid foundation of resilience that serves as a cornerstone of success in both their personal and professional lives.</w:t>
      </w:r>
    </w:p>
    <w:p w14:paraId="05573725" w14:textId="77777777" w:rsidR="00886009" w:rsidRPr="0009687E" w:rsidRDefault="00886009" w:rsidP="00886009">
      <w:pPr>
        <w:numPr>
          <w:ilvl w:val="0"/>
          <w:numId w:val="1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Environmental Resources</w:t>
      </w:r>
      <w:r w:rsidRPr="0009687E">
        <w:rPr>
          <w:rFonts w:asciiTheme="majorHAnsi" w:eastAsia="Times New Roman" w:hAnsiTheme="majorHAnsi" w:cs="Segoe UI"/>
          <w:bCs/>
          <w:color w:val="0D0D0D"/>
          <w:kern w:val="0"/>
          <w:sz w:val="24"/>
          <w:szCs w:val="24"/>
          <w14:ligatures w14:val="none"/>
        </w:rPr>
        <w:t>:</w:t>
      </w:r>
    </w:p>
    <w:p w14:paraId="7DEB45C1"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Environmental resources play a crucial role in supporting resilience among business professionals. Organizations can provide a supportive work environment that offers access to resources such as:</w:t>
      </w:r>
    </w:p>
    <w:p w14:paraId="45DFE99C" w14:textId="77777777" w:rsidR="00886009" w:rsidRPr="0009687E" w:rsidRDefault="00886009" w:rsidP="00886009">
      <w:pPr>
        <w:numPr>
          <w:ilvl w:val="0"/>
          <w:numId w:val="1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Social support networks: Strong relationships with colleagues, mentors, and peers can provide emotional support, practical assistance, and guidance during challenging times.</w:t>
      </w:r>
    </w:p>
    <w:p w14:paraId="3A11E01C" w14:textId="77777777" w:rsidR="00886009" w:rsidRPr="0009687E" w:rsidRDefault="00886009" w:rsidP="00886009">
      <w:pPr>
        <w:numPr>
          <w:ilvl w:val="0"/>
          <w:numId w:val="1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Economic opportunities: Access to job security, career advancement, and financial stability can mitigate stressors related to job insecurity and economic uncertainty.</w:t>
      </w:r>
    </w:p>
    <w:p w14:paraId="5ACF753A" w14:textId="77777777" w:rsidR="00886009" w:rsidRPr="0009687E" w:rsidRDefault="00886009" w:rsidP="00886009">
      <w:pPr>
        <w:numPr>
          <w:ilvl w:val="0"/>
          <w:numId w:val="1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Access to education and training: Opportunities for skills development, professional growth, and lifelong learning can enhance individuals' resilience by increasing their adaptability and employability.</w:t>
      </w:r>
    </w:p>
    <w:p w14:paraId="63D110DA"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By fostering a supportive organizational culture and providing access to resources, organizations can empower their employees to thrive in the face of adversity.</w:t>
      </w:r>
    </w:p>
    <w:p w14:paraId="668072C7" w14:textId="77777777" w:rsidR="00886009" w:rsidRPr="0009687E" w:rsidRDefault="00886009" w:rsidP="00886009">
      <w:pPr>
        <w:numPr>
          <w:ilvl w:val="0"/>
          <w:numId w:val="1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Situational Factors</w:t>
      </w:r>
      <w:r w:rsidRPr="0009687E">
        <w:rPr>
          <w:rFonts w:asciiTheme="majorHAnsi" w:eastAsia="Times New Roman" w:hAnsiTheme="majorHAnsi" w:cs="Segoe UI"/>
          <w:bCs/>
          <w:color w:val="0D0D0D"/>
          <w:kern w:val="0"/>
          <w:sz w:val="24"/>
          <w:szCs w:val="24"/>
          <w14:ligatures w14:val="none"/>
        </w:rPr>
        <w:t>:</w:t>
      </w:r>
    </w:p>
    <w:p w14:paraId="68C03899"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Situational factors influence individuals' resilience by shaping their exposure to stressors and their access to coping resources. Business professionals must navigate diverse situational contexts, each presenting unique challenges and opportunities. Situational factors that influence resilience include:</w:t>
      </w:r>
    </w:p>
    <w:p w14:paraId="31482C89" w14:textId="77777777" w:rsidR="00886009" w:rsidRPr="0009687E" w:rsidRDefault="00886009" w:rsidP="00886009">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The nature and severity of stressors: High-pressure situations, such as tight deadlines, intense competition, or organizational restructuring, can test individuals' resilience and coping abilities.</w:t>
      </w:r>
    </w:p>
    <w:p w14:paraId="38E14D46" w14:textId="77777777" w:rsidR="00886009" w:rsidRPr="0009687E" w:rsidRDefault="00886009" w:rsidP="00886009">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The availability of coping resources: Individuals' access to support networks, coping strategies, and resources can impact their ability to effectively manage stressors and maintain resilience.</w:t>
      </w:r>
    </w:p>
    <w:p w14:paraId="365E578A" w14:textId="77777777" w:rsidR="00886009" w:rsidRPr="0009687E" w:rsidRDefault="00886009" w:rsidP="00886009">
      <w:pPr>
        <w:numPr>
          <w:ilvl w:val="0"/>
          <w:numId w:val="1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The presence of additional stressors: Cumulative stressors, such as work-life balance issues, health problems, or family conflicts, can compound individuals' stress levels and challenge their resilience capacities.</w:t>
      </w:r>
    </w:p>
    <w:p w14:paraId="5C510C31"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By understanding and addressing situational factors that influence resilience, business professionals can better navigate challenges and thrive in dynamic environments.</w:t>
      </w:r>
    </w:p>
    <w:p w14:paraId="2C4DA372" w14:textId="77777777" w:rsidR="00886009" w:rsidRPr="0009687E" w:rsidRDefault="00886009" w:rsidP="00886009">
      <w:pPr>
        <w:numPr>
          <w:ilvl w:val="0"/>
          <w:numId w:val="2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Resilience Processes</w:t>
      </w:r>
      <w:r w:rsidRPr="0009687E">
        <w:rPr>
          <w:rFonts w:asciiTheme="majorHAnsi" w:eastAsia="Times New Roman" w:hAnsiTheme="majorHAnsi" w:cs="Segoe UI"/>
          <w:bCs/>
          <w:color w:val="0D0D0D"/>
          <w:kern w:val="0"/>
          <w:sz w:val="24"/>
          <w:szCs w:val="24"/>
          <w14:ligatures w14:val="none"/>
        </w:rPr>
        <w:t>:</w:t>
      </w:r>
    </w:p>
    <w:p w14:paraId="3984189E"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Resilience processes refer to the cognitive, emotional, and behavioral strategies that individuals employ to cope with adversity and maintain their well-being. Business professionals can leverage various resilience processes to enhance their adaptive capacity, including:</w:t>
      </w:r>
    </w:p>
    <w:p w14:paraId="1BB134D3" w14:textId="77777777" w:rsidR="00886009" w:rsidRPr="0009687E" w:rsidRDefault="00886009" w:rsidP="00886009">
      <w:pPr>
        <w:numPr>
          <w:ilvl w:val="0"/>
          <w:numId w:val="2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Problem-solving: Identifying solutions to challenges and implementing effective strategies to address them.</w:t>
      </w:r>
    </w:p>
    <w:p w14:paraId="78444ACE" w14:textId="77777777" w:rsidR="00886009" w:rsidRPr="0009687E" w:rsidRDefault="00886009" w:rsidP="00886009">
      <w:pPr>
        <w:numPr>
          <w:ilvl w:val="0"/>
          <w:numId w:val="2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Emotional regulation: Managing and expressing emotions in constructive ways, such as through self-soothing techniques or seeking social support.</w:t>
      </w:r>
    </w:p>
    <w:p w14:paraId="6EF6BDF7" w14:textId="77777777" w:rsidR="00886009" w:rsidRPr="0009687E" w:rsidRDefault="00886009" w:rsidP="00886009">
      <w:pPr>
        <w:numPr>
          <w:ilvl w:val="0"/>
          <w:numId w:val="2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Cognitive reappraisal: Reframing negative thoughts or interpretations of events in a more positive or adaptive light.</w:t>
      </w:r>
    </w:p>
    <w:p w14:paraId="0AE293C3" w14:textId="77777777" w:rsidR="00886009" w:rsidRPr="0009687E" w:rsidRDefault="00886009" w:rsidP="00886009">
      <w:pPr>
        <w:numPr>
          <w:ilvl w:val="0"/>
          <w:numId w:val="2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Goal setting: Establishing clear objectives and action plans to work towards, providing direction and motivation during challenging times.</w:t>
      </w:r>
    </w:p>
    <w:p w14:paraId="314B4A07" w14:textId="77777777" w:rsidR="00886009" w:rsidRPr="0009687E" w:rsidRDefault="00886009" w:rsidP="00886009">
      <w:pPr>
        <w:numPr>
          <w:ilvl w:val="0"/>
          <w:numId w:val="2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Seeking social support: Reaching out to friends, family, colleagues, or mentors for encouragement, advice, or practical assistance.</w:t>
      </w:r>
    </w:p>
    <w:p w14:paraId="3063AC23"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By developing and practicing these resilience processes, business professionals can build their capacity to cope with adversity, maintain well-being, and achieve their goals.</w:t>
      </w:r>
    </w:p>
    <w:p w14:paraId="7ACF7A07" w14:textId="77777777" w:rsidR="00886009" w:rsidRPr="0009687E" w:rsidRDefault="00886009" w:rsidP="00886009">
      <w:pPr>
        <w:pStyle w:val="Heading2"/>
        <w:rPr>
          <w:rFonts w:eastAsia="Times New Roman"/>
          <w:bCs/>
          <w:sz w:val="24"/>
          <w:szCs w:val="24"/>
        </w:rPr>
      </w:pPr>
      <w:bookmarkStart w:id="30" w:name="_Toc168210193"/>
      <w:bookmarkStart w:id="31" w:name="_Toc168210349"/>
      <w:r w:rsidRPr="0009687E">
        <w:rPr>
          <w:rFonts w:eastAsia="Times New Roman"/>
          <w:bCs/>
          <w:sz w:val="24"/>
          <w:szCs w:val="24"/>
          <w:bdr w:val="single" w:sz="2" w:space="0" w:color="E3E3E3" w:frame="1"/>
        </w:rPr>
        <w:t>Implications and Applications</w:t>
      </w:r>
      <w:bookmarkEnd w:id="30"/>
      <w:bookmarkEnd w:id="31"/>
    </w:p>
    <w:p w14:paraId="04894B0B" w14:textId="77777777" w:rsidR="00886009" w:rsidRPr="0009687E" w:rsidRDefault="00886009" w:rsidP="00886009">
      <w:pPr>
        <w:pStyle w:val="Heading3"/>
        <w:rPr>
          <w:rFonts w:asciiTheme="majorHAnsi" w:eastAsia="Times New Roman" w:hAnsiTheme="majorHAnsi"/>
          <w:bCs/>
          <w:sz w:val="24"/>
          <w:szCs w:val="24"/>
        </w:rPr>
      </w:pPr>
      <w:bookmarkStart w:id="32" w:name="_Toc168210194"/>
      <w:bookmarkStart w:id="33" w:name="_Toc168210350"/>
      <w:r w:rsidRPr="0009687E">
        <w:rPr>
          <w:rFonts w:asciiTheme="majorHAnsi" w:eastAsia="Times New Roman" w:hAnsiTheme="majorHAnsi"/>
          <w:bCs/>
          <w:sz w:val="24"/>
          <w:szCs w:val="24"/>
          <w:bdr w:val="single" w:sz="2" w:space="0" w:color="E3E3E3" w:frame="1"/>
        </w:rPr>
        <w:t>Promoting Resilience</w:t>
      </w:r>
      <w:r w:rsidRPr="0009687E">
        <w:rPr>
          <w:rFonts w:asciiTheme="majorHAnsi" w:eastAsia="Times New Roman" w:hAnsiTheme="majorHAnsi"/>
          <w:bCs/>
          <w:sz w:val="24"/>
          <w:szCs w:val="24"/>
        </w:rPr>
        <w:t>:</w:t>
      </w:r>
      <w:bookmarkEnd w:id="32"/>
      <w:bookmarkEnd w:id="33"/>
    </w:p>
    <w:p w14:paraId="22109913"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Organizations play a crucial role in promoting resilience among their employees by fostering a culture that values well-being, growth, and adaptability. This proactive approach not only enhances individual resilience but also contributes to the overall organizational resilience and sustainability. Here's an in-depth exploration of how organizations can promote resilience among their workforce:</w:t>
      </w:r>
    </w:p>
    <w:p w14:paraId="71CD2A97" w14:textId="77777777" w:rsidR="00886009" w:rsidRPr="0009687E" w:rsidRDefault="00886009" w:rsidP="00886009">
      <w:pPr>
        <w:numPr>
          <w:ilvl w:val="0"/>
          <w:numId w:val="2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Providing Training and Development Opportunities: Organizations can invest in training and development programs aimed at enhancing employees' resilience skills. These programs may include workshops, seminars, or online courses focusing on stress management techniques, emotional intelligence, conflict resolution strategies, and other relevant skills. By equipping employees with practical tools and strategies to navigate challenges effectively, organizations empower them to cope with stressors and adversities more resiliently.</w:t>
      </w:r>
    </w:p>
    <w:p w14:paraId="66E7E800"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Moreover, organizations can offer leadership development programs that emphasize resilience-building among managers and supervisors. Strong leadership plays a critical role in fostering a resilient organizational culture, and training initiatives can help leaders cultivate the skills and qualities needed to support their teams during times of change or uncertainty.</w:t>
      </w:r>
    </w:p>
    <w:p w14:paraId="69BC3FA9" w14:textId="77777777" w:rsidR="00886009" w:rsidRPr="0009687E" w:rsidRDefault="00886009" w:rsidP="00886009">
      <w:pPr>
        <w:numPr>
          <w:ilvl w:val="0"/>
          <w:numId w:val="2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Offering Resources and Support Services: In addition to training programs, organizations can provide a range of resources and support services to help employees cope with stressors and maintain their well-being. This may include access to employee assistance programs (EAPs), mental health resources, counseling services, and wellness initiatives such as yoga classes, mindfulness sessions, or fitness programs.</w:t>
      </w:r>
    </w:p>
    <w:p w14:paraId="75E3134D"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Furthermore, organizations can implement flexible work arrangements, such as telecommuting options or flexible scheduling, to accommodate employees' individual needs and promote work-life balance. By prioritizing employee well-being and offering comprehensive support services, organizations create a supportive environment where employees feel valued, cared for, and empowered to overcome challenges.</w:t>
      </w:r>
    </w:p>
    <w:p w14:paraId="23687A2B" w14:textId="77777777" w:rsidR="00886009" w:rsidRPr="0009687E" w:rsidRDefault="00886009" w:rsidP="00886009">
      <w:pPr>
        <w:numPr>
          <w:ilvl w:val="0"/>
          <w:numId w:val="2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Creating a Supportive Work Environment: A supportive work environment is essential for fostering resilience among employees. Organizations can cultivate such an environment by promoting open communication, collaboration, and mutual support among team members. This may involve establishing regular check-ins, team meetings, or feedback sessions where employees can share their concerns, ideas, and successes openly.</w:t>
      </w:r>
    </w:p>
    <w:p w14:paraId="7A238D92"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Additionally, organizations can foster a sense of belonging and camaraderie by organizing team-building activities, social events, or community service initiatives that bring employees together outside of work-related tasks. By nurturing positive relationships and fostering a culture of trust and respect, organizations strengthen the social support networks within the workplace, which are crucial for promoting resilience and well-being.</w:t>
      </w:r>
    </w:p>
    <w:p w14:paraId="40FB24F5" w14:textId="77777777" w:rsidR="00886009" w:rsidRPr="0009687E" w:rsidRDefault="00886009" w:rsidP="00886009">
      <w:pPr>
        <w:numPr>
          <w:ilvl w:val="0"/>
          <w:numId w:val="2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Recognizing and Rewarding Resilience: Organizations can reinforce a culture of resilience by recognizing and rewarding employees who demonstrate adaptive coping behaviors and innovative problem-solving skills. This may involve implementing formal recognition programs, awards, or incentives that celebrate resilience, creativity, and initiative.</w:t>
      </w:r>
    </w:p>
    <w:p w14:paraId="7DC59BD9"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Furthermore, organizations can incorporate resilience criteria into performance evaluations and promotion processes, highlighting the importance of resilience as a core competency for success within the organization. By acknowledging and celebrating resilience in the workplace, organizations send a clear message that resilience is valued and encouraged, which motivates employees to cultivate and demonstrate resilience in their daily work.</w:t>
      </w:r>
    </w:p>
    <w:p w14:paraId="20F8D3A9" w14:textId="77777777" w:rsidR="00886009" w:rsidRPr="0009687E" w:rsidRDefault="00886009" w:rsidP="00886009">
      <w:pPr>
        <w:numPr>
          <w:ilvl w:val="0"/>
          <w:numId w:val="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Promoting Continuous Learning and Growth: Finally, organizations can promote resilience by fostering a culture of continuous learning and growth. This involves providing opportunities for employees to acquire new skills, develop professionally, and adapt to changing circumstances or technologies. Organizations can support employee growth through mentorship programs, career development opportunities, and access to online learning platforms or educational resources.</w:t>
      </w:r>
    </w:p>
    <w:p w14:paraId="04DCCFBE"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Moreover, organizations can encourage employees to embrace a growth mindset – the belief that talents and abilities can be developed through dedication and hard work. By fostering a culture of continuous improvement and learning, organizations empower employees to adapt, innovate, and thrive in the face of challenges, ultimately contributing to their long-term resilience and success.</w:t>
      </w:r>
    </w:p>
    <w:p w14:paraId="261A5B3B"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In conclusion, organizations can play a pivotal role in promoting resilience among their employees by prioritizing well-being, providing training and development opportunities, creating a supportive work environment, recognizing and rewarding resilience, and promoting continuous learning and growth. By investing in resilience promotion initiatives, organizations not only enhance employee well-being, engagement, and performance but also strengthen their own resilience and sustainability in an ever-changing business landscape.</w:t>
      </w:r>
    </w:p>
    <w:p w14:paraId="5C2AAA8B" w14:textId="77777777" w:rsidR="00886009" w:rsidRPr="0009687E" w:rsidRDefault="00886009" w:rsidP="00886009">
      <w:pPr>
        <w:pStyle w:val="Heading3"/>
        <w:rPr>
          <w:rFonts w:asciiTheme="majorHAnsi" w:eastAsia="Times New Roman" w:hAnsiTheme="majorHAnsi"/>
          <w:bCs/>
          <w:sz w:val="24"/>
          <w:szCs w:val="24"/>
        </w:rPr>
      </w:pPr>
      <w:bookmarkStart w:id="34" w:name="_Toc168210195"/>
      <w:bookmarkStart w:id="35" w:name="_Toc168210351"/>
      <w:r w:rsidRPr="0009687E">
        <w:rPr>
          <w:rFonts w:asciiTheme="majorHAnsi" w:eastAsia="Times New Roman" w:hAnsiTheme="majorHAnsi"/>
          <w:bCs/>
          <w:sz w:val="24"/>
          <w:szCs w:val="24"/>
          <w:bdr w:val="single" w:sz="2" w:space="0" w:color="E3E3E3" w:frame="1"/>
        </w:rPr>
        <w:t>Cultivating Resilience Mindset</w:t>
      </w:r>
      <w:r w:rsidRPr="0009687E">
        <w:rPr>
          <w:rFonts w:asciiTheme="majorHAnsi" w:eastAsia="Times New Roman" w:hAnsiTheme="majorHAnsi"/>
          <w:bCs/>
          <w:sz w:val="24"/>
          <w:szCs w:val="24"/>
        </w:rPr>
        <w:t>:</w:t>
      </w:r>
      <w:bookmarkEnd w:id="34"/>
      <w:bookmarkEnd w:id="35"/>
    </w:p>
    <w:p w14:paraId="6BDD749B"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ajorHAnsi" w:hAnsiTheme="majorHAnsi" w:cs="Segoe UI"/>
          <w:bCs/>
          <w:color w:val="0D0D0D"/>
        </w:rPr>
      </w:pPr>
      <w:r w:rsidRPr="0009687E">
        <w:rPr>
          <w:rFonts w:asciiTheme="majorHAnsi" w:hAnsiTheme="majorHAnsi" w:cs="Segoe UI"/>
          <w:bCs/>
          <w:color w:val="0D0D0D"/>
        </w:rPr>
        <w:t>Expanding on the concept of cultivating a resilience mindset among business professionals involves delving into various aspects of attitudes, beliefs, and behaviors that support adaptive coping and growth. This comprehensive approach aims to equip individuals with the necessary tools and mindset to navigate challenges effectively, fostering personal and professional development. Here's an extensive exploration of strategies for cultivating a resilience mindset:</w:t>
      </w:r>
    </w:p>
    <w:p w14:paraId="29CF3D8B" w14:textId="77777777" w:rsidR="00886009" w:rsidRPr="0009687E" w:rsidRDefault="00886009" w:rsidP="00886009">
      <w:pPr>
        <w:pStyle w:val="NormalWeb"/>
        <w:numPr>
          <w:ilvl w:val="0"/>
          <w:numId w:val="2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Fonts w:asciiTheme="majorHAnsi" w:hAnsiTheme="majorHAnsi" w:cs="Segoe UI"/>
          <w:bCs/>
          <w:color w:val="0D0D0D"/>
        </w:rPr>
        <w:t>Embracing Failure as a Learning Opportunity: One key aspect of a resilience mindset is the ability to embrace failure as a learning opportunity rather than viewing setbacks as insurmountable barriers. Business professionals can cultivate this mindset by reframing failures and setbacks as temporary obstacles on the path to success. By adopting a growth-oriented perspective, individuals can extract valuable lessons from failures, identify areas for improvement, and adapt their approach accordingly. Encouraging a culture that values experimentation, innovation, and continuous improvement can foster a resilient mindset among team members, promoting risk-taking and creativity in problem-solving.</w:t>
      </w:r>
    </w:p>
    <w:p w14:paraId="0E78D23E" w14:textId="77777777" w:rsidR="00886009" w:rsidRPr="0009687E" w:rsidRDefault="00886009" w:rsidP="00886009">
      <w:pPr>
        <w:pStyle w:val="NormalWeb"/>
        <w:numPr>
          <w:ilvl w:val="0"/>
          <w:numId w:val="2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Fonts w:asciiTheme="majorHAnsi" w:hAnsiTheme="majorHAnsi" w:cs="Segoe UI"/>
          <w:bCs/>
          <w:color w:val="0D0D0D"/>
        </w:rPr>
        <w:t>Cultivating Self-Awareness and Self-Reflection: Self-awareness and self-reflection are essential components of resilience, enabling individuals to identify their strengths, values, and areas for growth. Business professionals can cultivate self-awareness through practices such as mindfulness meditation, journaling, or seeking feedback from peers and mentors. By gaining insight into their emotions, thought patterns, and behaviors, individuals can develop a deeper understanding of themselves and their reactions to stressors. This self-awareness lays the foundation for effective coping strategies and decision-making, empowering individuals to navigate challenges with clarity and purpose.</w:t>
      </w:r>
    </w:p>
    <w:p w14:paraId="4C2658B5" w14:textId="77777777" w:rsidR="00886009" w:rsidRPr="0009687E" w:rsidRDefault="00886009" w:rsidP="00886009">
      <w:pPr>
        <w:pStyle w:val="NormalWeb"/>
        <w:numPr>
          <w:ilvl w:val="0"/>
          <w:numId w:val="2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Fonts w:asciiTheme="majorHAnsi" w:hAnsiTheme="majorHAnsi" w:cs="Segoe UI"/>
          <w:bCs/>
          <w:color w:val="0D0D0D"/>
        </w:rPr>
        <w:t>Practicing Self-Care and Stress Management: Maintaining resilience requires prioritizing self-care and implementing stress management techniques to replenish energy reserves and promote overall well-being. Business professionals can incorporate self-care practices into their daily routines, such as regular exercise, healthy eating, adequate sleep, and relaxation techniques like deep breathing or progressive muscle relaxation. Additionally, mindfulness-based interventions, such as mindfulness-based stress reduction (MBSR) or mindfulness-based cognitive therapy (MBCT), have been shown to reduce stress and enhance resilience by cultivating present-moment awareness and acceptance of difficult experiences.</w:t>
      </w:r>
    </w:p>
    <w:p w14:paraId="7625FCD4" w14:textId="77777777" w:rsidR="00886009" w:rsidRPr="0009687E" w:rsidRDefault="00886009" w:rsidP="00886009">
      <w:pPr>
        <w:pStyle w:val="NormalWeb"/>
        <w:numPr>
          <w:ilvl w:val="0"/>
          <w:numId w:val="2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Fonts w:asciiTheme="majorHAnsi" w:hAnsiTheme="majorHAnsi" w:cs="Segoe UI"/>
          <w:bCs/>
          <w:color w:val="0D0D0D"/>
        </w:rPr>
        <w:t>Seeking Challenges and Opportunities for Growth: A resilience mindset involves actively seeking out challenges and opportunities for growth, rather than avoiding or shrinking from them. Business professionals can develop this mindset by embracing uncertainty as a catalyst for innovation and development. This may involve stepping outside of comfort zones, taking on new responsibilities, or pursuing professional development opportunities that stretch their skills and capabilities. By adopting a growth-oriented mindset, individuals can view challenges as opportunities for learning and personal growth, fostering resilience in the face of adversity.</w:t>
      </w:r>
    </w:p>
    <w:p w14:paraId="2A61527E" w14:textId="77777777" w:rsidR="00886009" w:rsidRPr="0009687E" w:rsidRDefault="00886009" w:rsidP="00886009">
      <w:pPr>
        <w:pStyle w:val="NormalWeb"/>
        <w:numPr>
          <w:ilvl w:val="0"/>
          <w:numId w:val="2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Fonts w:asciiTheme="majorHAnsi" w:hAnsiTheme="majorHAnsi" w:cs="Segoe UI"/>
          <w:bCs/>
          <w:color w:val="0D0D0D"/>
        </w:rPr>
        <w:t>Leveraging Social Support and Networks: Social support plays a crucial role in promoting resilience by providing individuals with emotional validation, practical assistance, and a sense of belonging. Business professionals can cultivate supportive relationships within their professional networks, mentorship circles, or peer groups to buffer against the impact of stressors and setbacks. Building strong social connections and fostering a culture of mutual support and collaboration within teams can enhance resilience at both the individual and organizational levels. Additionally, organizations can implement employee assistance programs (EAPs), peer support groups, or wellness initiatives to provide additional resources and support for employees facing challenging circumstances.</w:t>
      </w:r>
    </w:p>
    <w:p w14:paraId="72A680D0" w14:textId="77777777" w:rsidR="00886009" w:rsidRPr="0009687E" w:rsidRDefault="00886009" w:rsidP="00886009">
      <w:pPr>
        <w:pStyle w:val="NormalWeb"/>
        <w:numPr>
          <w:ilvl w:val="0"/>
          <w:numId w:val="28"/>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Fonts w:asciiTheme="majorHAnsi" w:hAnsiTheme="majorHAnsi" w:cs="Segoe UI"/>
          <w:bCs/>
          <w:color w:val="0D0D0D"/>
        </w:rPr>
        <w:t>Engaging in Lifelong Learning and Development: Finally, cultivating a resilience mindset involves committing to lifelong learning and development, continuously seeking new knowledge, skills, and perspectives to adapt to changing circumstances. Business professionals can embrace a growth mindset – the belief that abilities and intelligence can be developed through effort and practice – to approach challenges with curiosity and optimism. This may involve pursuing formal education, attending workshops or seminars, participating in professional networking events, or seeking out mentors and role models who embody resilience and success. By embracing a mindset of continuous learning and growth, individuals can adapt to evolving challenges and thrive in dynamic environments.</w:t>
      </w:r>
    </w:p>
    <w:p w14:paraId="78A8B1FB"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Segoe UI"/>
          <w:bCs/>
          <w:color w:val="0D0D0D"/>
        </w:rPr>
      </w:pPr>
      <w:r w:rsidRPr="0009687E">
        <w:rPr>
          <w:rFonts w:asciiTheme="majorHAnsi" w:hAnsiTheme="majorHAnsi" w:cs="Segoe UI"/>
          <w:bCs/>
          <w:color w:val="0D0D0D"/>
        </w:rPr>
        <w:t>In conclusion, cultivating a resilience mindset among business professionals involves adopting attitudes, beliefs, and behaviors that support adaptive coping and growth. By embracing failure as a learning opportunity, cultivating self-awareness, practicing self-care and stress management, seeking challenges and opportunities for growth, leveraging social support networks, and engaging in lifelong learning and development, individuals can navigate challenges with confidence, resilience, and adaptability. This resilience mindset not only fosters personal and professional growth but also contributes to the overall resilience and success of organizations and communities.</w:t>
      </w:r>
    </w:p>
    <w:p w14:paraId="7AC0E54A" w14:textId="77777777" w:rsidR="00886009" w:rsidRPr="0009687E" w:rsidRDefault="00886009" w:rsidP="00886009">
      <w:pPr>
        <w:pStyle w:val="Heading4"/>
        <w:rPr>
          <w:rFonts w:asciiTheme="majorHAnsi" w:eastAsia="Times New Roman" w:hAnsiTheme="majorHAnsi"/>
          <w:bCs/>
          <w:sz w:val="24"/>
          <w:szCs w:val="24"/>
        </w:rPr>
      </w:pPr>
      <w:r w:rsidRPr="0009687E">
        <w:rPr>
          <w:rFonts w:asciiTheme="majorHAnsi" w:eastAsia="Times New Roman" w:hAnsiTheme="majorHAnsi"/>
          <w:bCs/>
          <w:sz w:val="24"/>
          <w:szCs w:val="24"/>
        </w:rPr>
        <w:t>Psychology:</w:t>
      </w:r>
    </w:p>
    <w:p w14:paraId="55293281" w14:textId="77777777" w:rsidR="00886009" w:rsidRPr="0009687E" w:rsidRDefault="00886009" w:rsidP="00886009">
      <w:pPr>
        <w:numPr>
          <w:ilvl w:val="0"/>
          <w:numId w:val="2"/>
        </w:numPr>
        <w:pBdr>
          <w:top w:val="single" w:sz="2" w:space="0" w:color="E3E3E3"/>
          <w:left w:val="single" w:sz="2" w:space="5" w:color="E3E3E3"/>
          <w:bottom w:val="single" w:sz="2" w:space="0" w:color="E3E3E3"/>
          <w:right w:val="single" w:sz="2" w:space="0" w:color="E3E3E3"/>
        </w:pBdr>
        <w:spacing w:after="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Resilience as a Fundamental Human Capacity:</w:t>
      </w:r>
      <w:r w:rsidRPr="0009687E">
        <w:rPr>
          <w:rFonts w:asciiTheme="majorHAnsi" w:eastAsia="Times New Roman" w:hAnsiTheme="majorHAnsi" w:cs="Times New Roman"/>
          <w:bCs/>
          <w:kern w:val="0"/>
          <w:sz w:val="24"/>
          <w:szCs w:val="24"/>
          <w14:ligatures w14:val="none"/>
        </w:rPr>
        <w:t xml:space="preserve"> URT posits that resilience is a fundamental human capacity that exists within every individual, regardless of age, gender, or cultural background. It emphasizes the importance of recognizing and nurturing this innate resilience through psychological interventions that promote adaptive coping strategies, such as cognitive-behavioral therapy, resilience training, and mindfulness practices.</w:t>
      </w:r>
    </w:p>
    <w:p w14:paraId="28836AFD" w14:textId="77777777" w:rsidR="00886009" w:rsidRPr="0009687E" w:rsidRDefault="00886009" w:rsidP="00886009">
      <w:pPr>
        <w:numPr>
          <w:ilvl w:val="0"/>
          <w:numId w:val="2"/>
        </w:numPr>
        <w:pBdr>
          <w:top w:val="single" w:sz="2" w:space="0" w:color="E3E3E3"/>
          <w:left w:val="single" w:sz="2" w:space="5" w:color="E3E3E3"/>
          <w:bottom w:val="single" w:sz="2" w:space="0" w:color="E3E3E3"/>
          <w:right w:val="single" w:sz="2" w:space="0" w:color="E3E3E3"/>
        </w:pBdr>
        <w:spacing w:after="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Trauma and Resilience:</w:t>
      </w:r>
      <w:r w:rsidRPr="0009687E">
        <w:rPr>
          <w:rFonts w:asciiTheme="majorHAnsi" w:eastAsia="Times New Roman" w:hAnsiTheme="majorHAnsi" w:cs="Times New Roman"/>
          <w:bCs/>
          <w:kern w:val="0"/>
          <w:sz w:val="24"/>
          <w:szCs w:val="24"/>
          <w14:ligatures w14:val="none"/>
        </w:rPr>
        <w:t xml:space="preserve"> URT acknowledges that while individuals may face significant adversity and trauma, they also possess the inherent capacity to recover and thrive in the aftermath. It underscores the importance of trauma-informed care approaches that focus on resilience-building and post-traumatic growth, empowering individuals to transcend their traumatic experiences and rebuild their lives with resilience and purpose.</w:t>
      </w:r>
    </w:p>
    <w:p w14:paraId="54AC2382" w14:textId="77777777" w:rsidR="00886009" w:rsidRPr="0009687E" w:rsidRDefault="00886009" w:rsidP="00886009">
      <w:pPr>
        <w:pStyle w:val="Heading4"/>
        <w:rPr>
          <w:rFonts w:asciiTheme="majorHAnsi" w:eastAsia="Times New Roman" w:hAnsiTheme="majorHAnsi"/>
          <w:bCs/>
          <w:sz w:val="24"/>
          <w:szCs w:val="24"/>
        </w:rPr>
      </w:pPr>
      <w:r w:rsidRPr="0009687E">
        <w:rPr>
          <w:rFonts w:asciiTheme="majorHAnsi" w:eastAsia="Times New Roman" w:hAnsiTheme="majorHAnsi"/>
          <w:bCs/>
          <w:sz w:val="24"/>
          <w:szCs w:val="24"/>
        </w:rPr>
        <w:t>Sociology:</w:t>
      </w:r>
    </w:p>
    <w:p w14:paraId="6ADB0385" w14:textId="77777777" w:rsidR="00886009" w:rsidRPr="0009687E" w:rsidRDefault="00886009" w:rsidP="00886009">
      <w:pPr>
        <w:numPr>
          <w:ilvl w:val="0"/>
          <w:numId w:val="3"/>
        </w:numPr>
        <w:pBdr>
          <w:top w:val="single" w:sz="2" w:space="0" w:color="E3E3E3"/>
          <w:left w:val="single" w:sz="2" w:space="5" w:color="E3E3E3"/>
          <w:bottom w:val="single" w:sz="2" w:space="0" w:color="E3E3E3"/>
          <w:right w:val="single" w:sz="2" w:space="0" w:color="E3E3E3"/>
        </w:pBdr>
        <w:spacing w:after="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Community Resilience:</w:t>
      </w:r>
      <w:r w:rsidRPr="0009687E">
        <w:rPr>
          <w:rFonts w:asciiTheme="majorHAnsi" w:eastAsia="Times New Roman" w:hAnsiTheme="majorHAnsi" w:cs="Times New Roman"/>
          <w:bCs/>
          <w:kern w:val="0"/>
          <w:sz w:val="24"/>
          <w:szCs w:val="24"/>
          <w14:ligatures w14:val="none"/>
        </w:rPr>
        <w:t xml:space="preserve"> URT extends beyond individual resilience to encompass the resilience of communities and social systems. It emphasizes the interconnectedness of individuals within their social, cultural, and environmental contexts and underscores the role of social support networks, community cohesion, and collective action in promoting community resilience. Societal-level interventions, such as disaster preparedness initiatives and community development programs, can enhance community resilience and foster adaptive responses to social and environmental challenges.</w:t>
      </w:r>
    </w:p>
    <w:p w14:paraId="6F230897" w14:textId="77777777" w:rsidR="00886009" w:rsidRPr="0009687E" w:rsidRDefault="00886009" w:rsidP="00886009">
      <w:pPr>
        <w:numPr>
          <w:ilvl w:val="0"/>
          <w:numId w:val="3"/>
        </w:numPr>
        <w:pBdr>
          <w:top w:val="single" w:sz="2" w:space="0" w:color="E3E3E3"/>
          <w:left w:val="single" w:sz="2" w:space="5" w:color="E3E3E3"/>
          <w:bottom w:val="single" w:sz="2" w:space="0" w:color="E3E3E3"/>
          <w:right w:val="single" w:sz="2" w:space="0" w:color="E3E3E3"/>
        </w:pBdr>
        <w:spacing w:after="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Cultural Considerations:</w:t>
      </w:r>
      <w:r w:rsidRPr="0009687E">
        <w:rPr>
          <w:rFonts w:asciiTheme="majorHAnsi" w:eastAsia="Times New Roman" w:hAnsiTheme="majorHAnsi" w:cs="Times New Roman"/>
          <w:bCs/>
          <w:kern w:val="0"/>
          <w:sz w:val="24"/>
          <w:szCs w:val="24"/>
          <w14:ligatures w14:val="none"/>
        </w:rPr>
        <w:t xml:space="preserve"> URT recognizes the influence of cultural beliefs, values, and practices on resilience and emphasizes the importance of cultural competence in resilience-building efforts. It encourages culturally sensitive approaches that respect and integrate diverse cultural perspectives and traditions into resilience interventions, thereby enhancing their relevance and effectiveness across different cultural contexts.</w:t>
      </w:r>
    </w:p>
    <w:p w14:paraId="2E0D6BB0" w14:textId="77777777" w:rsidR="00886009" w:rsidRPr="0009687E" w:rsidRDefault="00886009" w:rsidP="00886009">
      <w:pPr>
        <w:pStyle w:val="Heading4"/>
        <w:rPr>
          <w:rFonts w:asciiTheme="majorHAnsi" w:eastAsia="Times New Roman" w:hAnsiTheme="majorHAnsi"/>
          <w:bCs/>
          <w:sz w:val="24"/>
          <w:szCs w:val="24"/>
        </w:rPr>
      </w:pPr>
      <w:r w:rsidRPr="0009687E">
        <w:rPr>
          <w:rFonts w:asciiTheme="majorHAnsi" w:eastAsia="Times New Roman" w:hAnsiTheme="majorHAnsi"/>
          <w:bCs/>
          <w:sz w:val="24"/>
          <w:szCs w:val="24"/>
        </w:rPr>
        <w:t>Education:</w:t>
      </w:r>
    </w:p>
    <w:p w14:paraId="53E908E4" w14:textId="77777777" w:rsidR="00886009" w:rsidRPr="0009687E" w:rsidRDefault="00886009" w:rsidP="00886009">
      <w:pPr>
        <w:numPr>
          <w:ilvl w:val="0"/>
          <w:numId w:val="4"/>
        </w:numPr>
        <w:pBdr>
          <w:top w:val="single" w:sz="2" w:space="0" w:color="E3E3E3"/>
          <w:left w:val="single" w:sz="2" w:space="5" w:color="E3E3E3"/>
          <w:bottom w:val="single" w:sz="2" w:space="0" w:color="E3E3E3"/>
          <w:right w:val="single" w:sz="2" w:space="0" w:color="E3E3E3"/>
        </w:pBdr>
        <w:spacing w:after="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Resilience in Education:</w:t>
      </w:r>
      <w:r w:rsidRPr="0009687E">
        <w:rPr>
          <w:rFonts w:asciiTheme="majorHAnsi" w:eastAsia="Times New Roman" w:hAnsiTheme="majorHAnsi" w:cs="Times New Roman"/>
          <w:bCs/>
          <w:kern w:val="0"/>
          <w:sz w:val="24"/>
          <w:szCs w:val="24"/>
          <w14:ligatures w14:val="none"/>
        </w:rPr>
        <w:t xml:space="preserve"> URT highlights the critical role of education in fostering resilience among children and adolescents. It advocates for the integration of resilience-building strategies into educational curricula and school-based programs, equipping students with the skills, knowledge, and support systems they need to navigate academic challenges, interpersonal conflicts, and life transitions with resilience and confidence.</w:t>
      </w:r>
    </w:p>
    <w:p w14:paraId="2E06F762" w14:textId="77777777" w:rsidR="00886009" w:rsidRPr="0009687E" w:rsidRDefault="00886009" w:rsidP="00886009">
      <w:pPr>
        <w:numPr>
          <w:ilvl w:val="0"/>
          <w:numId w:val="4"/>
        </w:numPr>
        <w:pBdr>
          <w:top w:val="single" w:sz="2" w:space="0" w:color="E3E3E3"/>
          <w:left w:val="single" w:sz="2" w:space="5" w:color="E3E3E3"/>
          <w:bottom w:val="single" w:sz="2" w:space="0" w:color="E3E3E3"/>
          <w:right w:val="single" w:sz="2" w:space="0" w:color="E3E3E3"/>
        </w:pBdr>
        <w:spacing w:after="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Growth Mindset and Resilience:</w:t>
      </w:r>
      <w:r w:rsidRPr="0009687E">
        <w:rPr>
          <w:rFonts w:asciiTheme="majorHAnsi" w:eastAsia="Times New Roman" w:hAnsiTheme="majorHAnsi" w:cs="Times New Roman"/>
          <w:bCs/>
          <w:kern w:val="0"/>
          <w:sz w:val="24"/>
          <w:szCs w:val="24"/>
          <w14:ligatures w14:val="none"/>
        </w:rPr>
        <w:t xml:space="preserve"> URT aligns with the principles of growth mindset theory, which emphasizes the belief that intelligence and abilities can be developed through effort, practice, and perseverance. It promotes educational practices that cultivate a growth mindset among students, encouraging them to embrace challenges, learn from failures, and develop resilience in the pursuit of academic and personal goals.</w:t>
      </w:r>
    </w:p>
    <w:p w14:paraId="5C4D3B4C" w14:textId="77777777" w:rsidR="00886009" w:rsidRPr="0009687E" w:rsidRDefault="00886009" w:rsidP="00886009">
      <w:pPr>
        <w:pStyle w:val="Heading4"/>
        <w:rPr>
          <w:rFonts w:asciiTheme="majorHAnsi" w:eastAsia="Times New Roman" w:hAnsiTheme="majorHAnsi"/>
          <w:bCs/>
          <w:sz w:val="24"/>
          <w:szCs w:val="24"/>
        </w:rPr>
      </w:pPr>
      <w:r w:rsidRPr="0009687E">
        <w:rPr>
          <w:rFonts w:asciiTheme="majorHAnsi" w:eastAsia="Times New Roman" w:hAnsiTheme="majorHAnsi"/>
          <w:bCs/>
          <w:sz w:val="24"/>
          <w:szCs w:val="24"/>
        </w:rPr>
        <w:t>Business:</w:t>
      </w:r>
    </w:p>
    <w:p w14:paraId="19E8C481" w14:textId="77777777" w:rsidR="00886009" w:rsidRPr="0009687E" w:rsidRDefault="00886009" w:rsidP="00886009">
      <w:pPr>
        <w:numPr>
          <w:ilvl w:val="0"/>
          <w:numId w:val="5"/>
        </w:numPr>
        <w:pBdr>
          <w:top w:val="single" w:sz="2" w:space="0" w:color="E3E3E3"/>
          <w:left w:val="single" w:sz="2" w:space="5" w:color="E3E3E3"/>
          <w:bottom w:val="single" w:sz="2" w:space="0" w:color="E3E3E3"/>
          <w:right w:val="single" w:sz="2" w:space="0" w:color="E3E3E3"/>
        </w:pBdr>
        <w:spacing w:after="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Organizational Resilience:</w:t>
      </w:r>
      <w:r w:rsidRPr="0009687E">
        <w:rPr>
          <w:rFonts w:asciiTheme="majorHAnsi" w:eastAsia="Times New Roman" w:hAnsiTheme="majorHAnsi" w:cs="Times New Roman"/>
          <w:bCs/>
          <w:kern w:val="0"/>
          <w:sz w:val="24"/>
          <w:szCs w:val="24"/>
          <w14:ligatures w14:val="none"/>
        </w:rPr>
        <w:t xml:space="preserve"> URT has profound implications for organizational resilience, particularly in the context of increasingly complex and uncertain business environments. It emphasizes the importance of agile leadership, adaptive decision-making, and strategic planning in building organizational resilience and navigating disruptive changes, such as technological disruptions, market fluctuations, and global crises.</w:t>
      </w:r>
    </w:p>
    <w:p w14:paraId="11C73FF0" w14:textId="77777777" w:rsidR="00886009" w:rsidRPr="0009687E" w:rsidRDefault="00886009" w:rsidP="00886009">
      <w:pPr>
        <w:numPr>
          <w:ilvl w:val="0"/>
          <w:numId w:val="5"/>
        </w:numPr>
        <w:pBdr>
          <w:top w:val="single" w:sz="2" w:space="0" w:color="E3E3E3"/>
          <w:left w:val="single" w:sz="2" w:space="5" w:color="E3E3E3"/>
          <w:bottom w:val="single" w:sz="2" w:space="0" w:color="E3E3E3"/>
          <w:right w:val="single" w:sz="2" w:space="0" w:color="E3E3E3"/>
        </w:pBdr>
        <w:spacing w:after="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Employee Well-being and Resilience:</w:t>
      </w:r>
      <w:r w:rsidRPr="0009687E">
        <w:rPr>
          <w:rFonts w:asciiTheme="majorHAnsi" w:eastAsia="Times New Roman" w:hAnsiTheme="majorHAnsi" w:cs="Times New Roman"/>
          <w:bCs/>
          <w:kern w:val="0"/>
          <w:sz w:val="24"/>
          <w:szCs w:val="24"/>
          <w14:ligatures w14:val="none"/>
        </w:rPr>
        <w:t xml:space="preserve"> URT underscores the significance of promoting employee well-being and resilience as a strategic priority for organizations. It advocates for workplace initiatives that prioritize work-life balance, mental health support, and professional development opportunities, thereby fostering a resilient workforce capable of thriving in the face of workplace stressors and challenges.</w:t>
      </w:r>
    </w:p>
    <w:p w14:paraId="23ECA112" w14:textId="77777777" w:rsidR="00886009" w:rsidRPr="0009687E" w:rsidRDefault="00886009" w:rsidP="00886009">
      <w:pPr>
        <w:pStyle w:val="Heading4"/>
        <w:rPr>
          <w:rFonts w:asciiTheme="majorHAnsi" w:eastAsia="Times New Roman" w:hAnsiTheme="majorHAnsi"/>
          <w:bCs/>
          <w:sz w:val="24"/>
          <w:szCs w:val="24"/>
        </w:rPr>
      </w:pPr>
      <w:r w:rsidRPr="0009687E">
        <w:rPr>
          <w:rFonts w:asciiTheme="majorHAnsi" w:eastAsia="Times New Roman" w:hAnsiTheme="majorHAnsi"/>
          <w:bCs/>
          <w:sz w:val="24"/>
          <w:szCs w:val="24"/>
        </w:rPr>
        <w:t>Healthcare:</w:t>
      </w:r>
    </w:p>
    <w:p w14:paraId="47EC02EF" w14:textId="77777777" w:rsidR="00886009" w:rsidRPr="0009687E" w:rsidRDefault="00886009" w:rsidP="00886009">
      <w:pPr>
        <w:numPr>
          <w:ilvl w:val="0"/>
          <w:numId w:val="6"/>
        </w:numPr>
        <w:pBdr>
          <w:top w:val="single" w:sz="2" w:space="0" w:color="E3E3E3"/>
          <w:left w:val="single" w:sz="2" w:space="5" w:color="E3E3E3"/>
          <w:bottom w:val="single" w:sz="2" w:space="0" w:color="E3E3E3"/>
          <w:right w:val="single" w:sz="2" w:space="0" w:color="E3E3E3"/>
        </w:pBdr>
        <w:spacing w:after="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Resilience in Healthcare Settings:</w:t>
      </w:r>
      <w:r w:rsidRPr="0009687E">
        <w:rPr>
          <w:rFonts w:asciiTheme="majorHAnsi" w:eastAsia="Times New Roman" w:hAnsiTheme="majorHAnsi" w:cs="Times New Roman"/>
          <w:bCs/>
          <w:kern w:val="0"/>
          <w:sz w:val="24"/>
          <w:szCs w:val="24"/>
          <w14:ligatures w14:val="none"/>
        </w:rPr>
        <w:t xml:space="preserve"> URT highlights the importance of resilience in healthcare settings, both for healthcare professionals and patients. It underscores the need for resilience-focused training programs for healthcare providers, equipping them with the skills and resources to cope effectively with job-related stress, burnout, and adversity. Additionally, it emphasizes the role of resilience-oriented interventions in promoting patient well-being and recovery, particularly among individuals facing chronic illness, trauma, or medical emergencies.</w:t>
      </w:r>
    </w:p>
    <w:p w14:paraId="44396B08" w14:textId="77777777" w:rsidR="00886009" w:rsidRPr="0009687E" w:rsidRDefault="00886009" w:rsidP="00886009">
      <w:pPr>
        <w:numPr>
          <w:ilvl w:val="0"/>
          <w:numId w:val="6"/>
        </w:numPr>
        <w:pBdr>
          <w:top w:val="single" w:sz="2" w:space="0" w:color="E3E3E3"/>
          <w:left w:val="single" w:sz="2" w:space="5" w:color="E3E3E3"/>
          <w:bottom w:val="single" w:sz="2" w:space="0" w:color="E3E3E3"/>
          <w:right w:val="single" w:sz="2" w:space="0" w:color="E3E3E3"/>
        </w:pBdr>
        <w:spacing w:after="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Preventive Care and Resilience:</w:t>
      </w:r>
      <w:r w:rsidRPr="0009687E">
        <w:rPr>
          <w:rFonts w:asciiTheme="majorHAnsi" w:eastAsia="Times New Roman" w:hAnsiTheme="majorHAnsi" w:cs="Times New Roman"/>
          <w:bCs/>
          <w:kern w:val="0"/>
          <w:sz w:val="24"/>
          <w:szCs w:val="24"/>
          <w14:ligatures w14:val="none"/>
        </w:rPr>
        <w:t xml:space="preserve"> URT advocates for a preventive approach to healthcare that prioritizes resilience-building interventions aimed at enhancing individuals' capacity to withstand and recover from physical, emotional, and psychological stressors. By integrating resilience promotion into primary care, preventive health screenings, and health education programs, healthcare systems can empower individuals to take proactive steps to safeguard their well-being and mitigate the impact of adversity on their health outcomes.</w:t>
      </w:r>
    </w:p>
    <w:p w14:paraId="69CBF46F" w14:textId="77777777" w:rsidR="00886009" w:rsidRPr="0009687E" w:rsidRDefault="00886009" w:rsidP="00886009">
      <w:pPr>
        <w:pStyle w:val="Heading4"/>
        <w:rPr>
          <w:rFonts w:asciiTheme="majorHAnsi" w:eastAsia="Times New Roman" w:hAnsiTheme="majorHAnsi"/>
          <w:bCs/>
          <w:sz w:val="24"/>
          <w:szCs w:val="24"/>
        </w:rPr>
      </w:pPr>
      <w:r w:rsidRPr="0009687E">
        <w:rPr>
          <w:rFonts w:asciiTheme="majorHAnsi" w:eastAsia="Times New Roman" w:hAnsiTheme="majorHAnsi"/>
          <w:bCs/>
          <w:sz w:val="24"/>
          <w:szCs w:val="24"/>
        </w:rPr>
        <w:t>Public Policy:</w:t>
      </w:r>
    </w:p>
    <w:p w14:paraId="506D410E" w14:textId="77777777" w:rsidR="00886009" w:rsidRPr="0009687E" w:rsidRDefault="00886009" w:rsidP="00886009">
      <w:pPr>
        <w:numPr>
          <w:ilvl w:val="0"/>
          <w:numId w:val="7"/>
        </w:numPr>
        <w:pBdr>
          <w:top w:val="single" w:sz="2" w:space="0" w:color="E3E3E3"/>
          <w:left w:val="single" w:sz="2" w:space="5" w:color="E3E3E3"/>
          <w:bottom w:val="single" w:sz="2" w:space="0" w:color="E3E3E3"/>
          <w:right w:val="single" w:sz="2" w:space="0" w:color="E3E3E3"/>
        </w:pBdr>
        <w:spacing w:after="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Resilience-Informed Policies:</w:t>
      </w:r>
      <w:r w:rsidRPr="0009687E">
        <w:rPr>
          <w:rFonts w:asciiTheme="majorHAnsi" w:eastAsia="Times New Roman" w:hAnsiTheme="majorHAnsi" w:cs="Times New Roman"/>
          <w:bCs/>
          <w:kern w:val="0"/>
          <w:sz w:val="24"/>
          <w:szCs w:val="24"/>
          <w14:ligatures w14:val="none"/>
        </w:rPr>
        <w:t xml:space="preserve"> URT calls for the integration of resilience principles into public policy frameworks and decision-making processes at local, national, and global levels. It advocates for policies that support social and economic resilience, address systemic inequalities and vulnerabilities, and promote sustainable development practices that enhance community resilience to environmental, economic, and social shocks.</w:t>
      </w:r>
    </w:p>
    <w:p w14:paraId="0A65A429" w14:textId="77777777" w:rsidR="00886009" w:rsidRPr="0009687E" w:rsidRDefault="00886009" w:rsidP="00886009">
      <w:pPr>
        <w:numPr>
          <w:ilvl w:val="0"/>
          <w:numId w:val="7"/>
        </w:numPr>
        <w:pBdr>
          <w:top w:val="single" w:sz="2" w:space="0" w:color="E3E3E3"/>
          <w:left w:val="single" w:sz="2" w:space="5" w:color="E3E3E3"/>
          <w:bottom w:val="single" w:sz="2" w:space="0" w:color="E3E3E3"/>
          <w:right w:val="single" w:sz="2" w:space="0" w:color="E3E3E3"/>
        </w:pBdr>
        <w:spacing w:after="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Disaster Preparedness and Response:</w:t>
      </w:r>
      <w:r w:rsidRPr="0009687E">
        <w:rPr>
          <w:rFonts w:asciiTheme="majorHAnsi" w:eastAsia="Times New Roman" w:hAnsiTheme="majorHAnsi" w:cs="Times New Roman"/>
          <w:bCs/>
          <w:kern w:val="0"/>
          <w:sz w:val="24"/>
          <w:szCs w:val="24"/>
          <w14:ligatures w14:val="none"/>
        </w:rPr>
        <w:t xml:space="preserve"> URT emphasizes the importance of resilience-oriented approaches to disaster preparedness and response, which focus on building adaptive capacity, strengthening infrastructure, and fostering community resilience to minimize the impact of disasters and facilitate recovery efforts. It encourages investment in early warning systems, emergency response mechanisms, and post-disaster reconstruction initiatives that prioritize resilience-building and long-term sustainability.</w:t>
      </w:r>
    </w:p>
    <w:p w14:paraId="785765D9"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1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In summary, Universal Resilience Theory provides a comprehensive framework for understanding resilience as a fundamental aspect of human adaptation and thriving across diverse domains. By integrating resilience principles into psychological interventions, social policies, educational practices, business strategies, healthcare systems, and public policy frameworks, we can cultivate a more resilient society capable of navigating uncertainty, overcoming adversity, and flourishing in the face of challenges.</w:t>
      </w:r>
    </w:p>
    <w:p w14:paraId="4BEB356F" w14:textId="77777777" w:rsidR="00886009" w:rsidRPr="0009687E" w:rsidRDefault="00886009" w:rsidP="00886009">
      <w:pPr>
        <w:pBdr>
          <w:bottom w:val="single" w:sz="6" w:space="1" w:color="auto"/>
        </w:pBdr>
        <w:spacing w:after="0" w:line="240" w:lineRule="auto"/>
        <w:jc w:val="center"/>
        <w:rPr>
          <w:rFonts w:asciiTheme="majorHAnsi" w:eastAsia="Times New Roman" w:hAnsiTheme="majorHAnsi" w:cs="Arial"/>
          <w:bCs/>
          <w:vanish/>
          <w:kern w:val="0"/>
          <w:sz w:val="24"/>
          <w:szCs w:val="24"/>
          <w14:ligatures w14:val="none"/>
        </w:rPr>
      </w:pPr>
      <w:r w:rsidRPr="0009687E">
        <w:rPr>
          <w:rFonts w:asciiTheme="majorHAnsi" w:eastAsia="Times New Roman" w:hAnsiTheme="majorHAnsi" w:cs="Arial"/>
          <w:bCs/>
          <w:vanish/>
          <w:kern w:val="0"/>
          <w:sz w:val="24"/>
          <w:szCs w:val="24"/>
          <w14:ligatures w14:val="none"/>
        </w:rPr>
        <w:t>Top of Form</w:t>
      </w:r>
    </w:p>
    <w:p w14:paraId="196DCA0E" w14:textId="77777777" w:rsidR="00886009" w:rsidRPr="0009687E" w:rsidRDefault="00886009" w:rsidP="00886009">
      <w:pPr>
        <w:rPr>
          <w:rFonts w:asciiTheme="majorHAnsi" w:hAnsiTheme="majorHAnsi"/>
          <w:bCs/>
          <w:sz w:val="24"/>
          <w:szCs w:val="24"/>
        </w:rPr>
      </w:pPr>
    </w:p>
    <w:p w14:paraId="23ED2FB0" w14:textId="77777777" w:rsidR="00886009" w:rsidRPr="0009687E" w:rsidRDefault="00886009" w:rsidP="00886009">
      <w:pPr>
        <w:rPr>
          <w:rFonts w:asciiTheme="majorHAnsi" w:hAnsiTheme="majorHAnsi"/>
          <w:bCs/>
          <w:sz w:val="24"/>
          <w:szCs w:val="24"/>
        </w:rPr>
      </w:pPr>
    </w:p>
    <w:p w14:paraId="5D4B3A0B" w14:textId="77777777" w:rsidR="00886009" w:rsidRPr="0009687E" w:rsidRDefault="00886009" w:rsidP="00886009">
      <w:pPr>
        <w:pStyle w:val="Heading2"/>
        <w:rPr>
          <w:rFonts w:eastAsia="Times New Roman"/>
          <w:bCs/>
          <w:sz w:val="24"/>
          <w:szCs w:val="24"/>
        </w:rPr>
      </w:pPr>
      <w:r w:rsidRPr="0009687E">
        <w:rPr>
          <w:rFonts w:eastAsia="Times New Roman"/>
          <w:bCs/>
          <w:sz w:val="24"/>
          <w:szCs w:val="24"/>
          <w:bdr w:val="single" w:sz="2" w:space="0" w:color="E3E3E3" w:frame="1"/>
        </w:rPr>
        <w:br/>
      </w:r>
      <w:bookmarkStart w:id="36" w:name="_Toc168210196"/>
      <w:bookmarkStart w:id="37" w:name="_Toc168210352"/>
      <w:r w:rsidRPr="0009687E">
        <w:rPr>
          <w:rFonts w:eastAsia="Times New Roman"/>
          <w:bCs/>
          <w:sz w:val="24"/>
          <w:szCs w:val="24"/>
          <w:bdr w:val="single" w:sz="2" w:space="0" w:color="E3E3E3" w:frame="1"/>
        </w:rPr>
        <w:t>I. Introduction</w:t>
      </w:r>
      <w:bookmarkEnd w:id="36"/>
      <w:bookmarkEnd w:id="37"/>
    </w:p>
    <w:p w14:paraId="29FEA04C"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A. Background and Rationale</w:t>
      </w:r>
    </w:p>
    <w:p w14:paraId="28585775"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ajorHAnsi" w:hAnsiTheme="majorHAnsi" w:cs="Segoe UI"/>
          <w:bCs/>
          <w:color w:val="0D0D0D"/>
        </w:rPr>
      </w:pPr>
      <w:r w:rsidRPr="0009687E">
        <w:rPr>
          <w:rFonts w:asciiTheme="majorHAnsi" w:hAnsiTheme="majorHAnsi" w:cs="Segoe UI"/>
          <w:bCs/>
          <w:color w:val="0D0D0D"/>
        </w:rPr>
        <w:t>Resilience, often described as the ability to bounce back from adversity and thrive despite challenges, stands as a cornerstone of human adaptation and well-being. This multifaceted construct has garnered significant attention across various academic disciplines, including psychology, sociology, education, and public health, owing to its profound implications for individual outcomes, community dynamics, and societal resilience.</w:t>
      </w:r>
    </w:p>
    <w:p w14:paraId="601FE0CB"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 xml:space="preserve">Despite the wealth of research dedicated to resilience, existing frameworks often exhibit limitations, primarily due to their narrow focus on specific populations or contexts. While these frameworks have undoubtedly provided valuable insights into resilience processes, they may fail to capture </w:t>
      </w:r>
      <w:proofErr w:type="gramStart"/>
      <w:r w:rsidRPr="0009687E">
        <w:rPr>
          <w:rFonts w:asciiTheme="majorHAnsi" w:hAnsiTheme="majorHAnsi" w:cs="Segoe UI"/>
          <w:bCs/>
          <w:color w:val="0D0D0D"/>
        </w:rPr>
        <w:t>its</w:t>
      </w:r>
      <w:proofErr w:type="gramEnd"/>
      <w:r w:rsidRPr="0009687E">
        <w:rPr>
          <w:rFonts w:asciiTheme="majorHAnsi" w:hAnsiTheme="majorHAnsi" w:cs="Segoe UI"/>
          <w:bCs/>
          <w:color w:val="0D0D0D"/>
        </w:rPr>
        <w:t xml:space="preserve"> inherent complexity and universality. This fragmentation hinders our ability to develop comprehensive interventions and policies that can effectively promote resilience across diverse individuals and settings.</w:t>
      </w:r>
    </w:p>
    <w:p w14:paraId="41FFBBEA"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In response to these limitations, there arises a compelling need for a more inclusive and encompassing approach to resilience research. Universal Resilience Theory (URT) emerges as a promising framework that seeks to address this gap by transcending individual differences and contextual variations. Grounded in the belief that resilience is a fundamental aspect of human nature, URT aims to identify common factors and processes that underlie resilience across diverse populations and settings.</w:t>
      </w:r>
    </w:p>
    <w:p w14:paraId="0AD8D6A1"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At its core, URT posits that resilience is not a static trait but a dynamic process that unfolds over time and interacts with various individual and environmental factors. It acknowledges that all individuals possess inherent resilience capacities, shaped by a complex interplay of biological, psychological, social, and environmental factors. By embracing this holistic perspective, URT offers a more nuanced understanding of resilience that goes beyond simplistic dichotomies of "resilient" versus "non-resilient" individuals.</w:t>
      </w:r>
    </w:p>
    <w:p w14:paraId="3BAE9111"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One key tenet of URT is the recognition of the universality of resilience across different demographic groups and cultural contexts. While the manifestation of resilience may vary depending on factors such as age, gender, socioeconomic status, and cultural background, URT contends that the underlying mechanisms of resilience remain fundamentally similar. By identifying these commonalities, URT facilitates the development of interventions and strategies that can promote resilience effectively across diverse populations.</w:t>
      </w:r>
    </w:p>
    <w:p w14:paraId="330003F5"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URT also emphasizes the dynamic nature of resilience, highlighting its capacity to evolve and adapt in response to changing circumstances and life experiences. This dynamic perspective underscores the importance of considering resilience as a process rather than a fixed outcome, allowing for greater flexibility and responsiveness in resilience-promoting efforts. By acknowledging the fluidity of resilience, URT encourages researchers and practitioners to adopt a long-term perspective that prioritizes continuous growth and development.</w:t>
      </w:r>
    </w:p>
    <w:p w14:paraId="22A48C1F"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Furthermore, URT emphasizes the role of protective factors in fostering resilience and mitigating the impact of risk factors. Protective factors encompass a wide range of individual, family, community, and societal resources that promote positive adaptation in the face of adversity. These may include factors such as social support, coping skills, self-efficacy, optimism, and access to education and healthcare. By identifying and bolstering these protective factors, URT aims to strengthen individuals' resilience capacities and enhance their ability to navigate challenges successfully.</w:t>
      </w:r>
    </w:p>
    <w:p w14:paraId="1DA04AFE"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In addition to protective factors, URT also recognizes the importance of adaptive coping strategies in promoting resilience. Adaptive coping involves the utilization of constructive strategies to manage stressors and overcome adversity effectively. These strategies may include problem-solving, emotion regulation, cognitive reappraisal, seeking social support, and engaging in self-care activities. By promoting adaptive coping skills, URT equips individuals with the tools and resources they need to confront challenges with resilience and resourcefulness.</w:t>
      </w:r>
    </w:p>
    <w:p w14:paraId="2969C1ED"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Moreover, URT underscores the significance of social and environmental contexts in shaping resilience trajectories. It acknowledges that individuals do not exist in isolation but are embedded within larger social networks and environmental systems that influence their resilience experiences. These contexts may provide sources of support, resources, and opportunities for growth, or they may pose additional challenges and barriers to resilience. By understanding the dynamic interplay between individual characteristics and contextual factors, URT offers a comprehensive framework for examining resilience processes at multiple levels of analysis.</w:t>
      </w:r>
    </w:p>
    <w:p w14:paraId="594157CB"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Segoe UI"/>
          <w:bCs/>
          <w:color w:val="0D0D0D"/>
        </w:rPr>
      </w:pPr>
      <w:r w:rsidRPr="0009687E">
        <w:rPr>
          <w:rFonts w:asciiTheme="majorHAnsi" w:hAnsiTheme="majorHAnsi" w:cs="Segoe UI"/>
          <w:bCs/>
          <w:color w:val="0D0D0D"/>
        </w:rPr>
        <w:t>Overall, Universal Resilience Theory represents a significant advancement in our understanding of resilience, offering a comprehensive and inclusive framework that transcends individual and contextual differences. By identifying common factors and processes that underlie resilience across diverse populations and settings, URT provides a solid foundation for developing targeted interventions and policies that can promote resilience effectively. Moving forward, further research and application of URT principles are needed to harness its full potential in enhancing individual well-being, community resilience, and societal flourishing.</w:t>
      </w:r>
    </w:p>
    <w:p w14:paraId="3AD1F784" w14:textId="77777777" w:rsidR="00886009" w:rsidRPr="0009687E" w:rsidRDefault="00886009" w:rsidP="00886009">
      <w:pPr>
        <w:pStyle w:val="Heading3"/>
        <w:rPr>
          <w:rFonts w:asciiTheme="majorHAnsi" w:eastAsia="Times New Roman" w:hAnsiTheme="majorHAnsi"/>
          <w:bCs/>
          <w:sz w:val="24"/>
          <w:szCs w:val="24"/>
        </w:rPr>
      </w:pPr>
      <w:bookmarkStart w:id="38" w:name="_Toc168210197"/>
      <w:bookmarkStart w:id="39" w:name="_Toc168210353"/>
      <w:r w:rsidRPr="0009687E">
        <w:rPr>
          <w:rFonts w:asciiTheme="majorHAnsi" w:eastAsia="Times New Roman" w:hAnsiTheme="majorHAnsi"/>
          <w:bCs/>
          <w:sz w:val="24"/>
          <w:szCs w:val="24"/>
          <w:bdr w:val="single" w:sz="2" w:space="0" w:color="E3E3E3" w:frame="1"/>
        </w:rPr>
        <w:t>B. Research Objectives and Questions</w:t>
      </w:r>
      <w:bookmarkEnd w:id="38"/>
      <w:bookmarkEnd w:id="39"/>
    </w:p>
    <w:p w14:paraId="24114498"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The research objectives of this study are twofold: first, to explore the universality of resilience by examining its manifestations across diverse individuals and cultures, and second, to identify factors that contribute to resilience and understand their implications for theory and practice.</w:t>
      </w:r>
    </w:p>
    <w:p w14:paraId="45813331"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To achieve these objectives, the study will address the following research questions:</w:t>
      </w:r>
    </w:p>
    <w:p w14:paraId="0895AC94" w14:textId="77777777" w:rsidR="00886009" w:rsidRPr="0009687E" w:rsidRDefault="00886009" w:rsidP="00886009">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What is the conceptualization of universal resilience, and how does it differ from existing resilience frameworks?</w:t>
      </w:r>
    </w:p>
    <w:p w14:paraId="710A7212" w14:textId="77777777" w:rsidR="00886009" w:rsidRPr="0009687E" w:rsidRDefault="00886009" w:rsidP="00886009">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What are the key determinants of resilience across different populations, cultures, and contexts?</w:t>
      </w:r>
    </w:p>
    <w:p w14:paraId="38C7013E" w14:textId="77777777" w:rsidR="00886009" w:rsidRPr="0009687E" w:rsidRDefault="00886009" w:rsidP="00886009">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How does universal resilience contribute to positive outcomes such as well-being, adaptive functioning, and thriving?</w:t>
      </w:r>
    </w:p>
    <w:p w14:paraId="45878628" w14:textId="77777777" w:rsidR="00886009" w:rsidRPr="0009687E" w:rsidRDefault="00886009" w:rsidP="00886009">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What are the implications of universal resilience for theory development, intervention design, and policy formulation in various domains?</w:t>
      </w:r>
    </w:p>
    <w:p w14:paraId="7B32962D" w14:textId="77777777" w:rsidR="00886009" w:rsidRPr="0009687E" w:rsidRDefault="00886009" w:rsidP="00886009">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How can the principles of universal resilience be applied to promote resilience and well-being among individuals, communities, and societies?</w:t>
      </w:r>
    </w:p>
    <w:p w14:paraId="5EB840E5"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By addressing these research questions, we aim to advance our understanding of resilience as a universal phenomenon that transcends individual and contextual differences, thereby informing efforts to promote resilience and well-being on a global scale.</w:t>
      </w:r>
    </w:p>
    <w:p w14:paraId="5D9E7778"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pacing w:before="0" w:beforeAutospacing="0" w:after="300" w:afterAutospacing="0"/>
        <w:rPr>
          <w:rFonts w:asciiTheme="majorHAnsi" w:hAnsiTheme="majorHAnsi"/>
          <w:bCs/>
        </w:rPr>
      </w:pPr>
      <w:r w:rsidRPr="0009687E">
        <w:rPr>
          <w:rFonts w:asciiTheme="majorHAnsi" w:hAnsiTheme="majorHAnsi" w:cs="Segoe UI"/>
          <w:bCs/>
          <w:color w:val="0D0D0D"/>
          <w:bdr w:val="single" w:sz="2" w:space="0" w:color="E3E3E3" w:frame="1"/>
        </w:rPr>
        <w:br/>
      </w:r>
      <w:r w:rsidRPr="0009687E">
        <w:rPr>
          <w:rFonts w:asciiTheme="majorHAnsi" w:hAnsiTheme="majorHAnsi"/>
          <w:bCs/>
        </w:rPr>
        <w:t>The significance of Universal Resilience Theory (URT) extends far beyond theoretical frameworks, promising profound implications for research, practice, and policy in numerous fields. By shedding light on the universality of resilience and identifying common factors that contribute to resilience across diverse populations and contexts, URT stands as a beacon of hope, offering pathways for positive change and transformation.</w:t>
      </w:r>
    </w:p>
    <w:p w14:paraId="235A0E1D" w14:textId="77777777" w:rsidR="00886009" w:rsidRPr="0009687E" w:rsidRDefault="00886009" w:rsidP="00886009">
      <w:pPr>
        <w:numPr>
          <w:ilvl w:val="0"/>
          <w:numId w:val="29"/>
        </w:numPr>
        <w:pBdr>
          <w:top w:val="single" w:sz="2" w:space="0" w:color="E3E3E3"/>
          <w:left w:val="single" w:sz="2" w:space="5" w:color="E3E3E3"/>
          <w:bottom w:val="single" w:sz="2" w:space="0" w:color="E3E3E3"/>
          <w:right w:val="single" w:sz="2" w:space="0" w:color="E3E3E3"/>
        </w:pBdr>
        <w:spacing w:after="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Informing Interventions</w:t>
      </w:r>
      <w:r w:rsidRPr="0009687E">
        <w:rPr>
          <w:rFonts w:asciiTheme="majorHAnsi" w:eastAsia="Times New Roman" w:hAnsiTheme="majorHAnsi" w:cs="Times New Roman"/>
          <w:bCs/>
          <w:kern w:val="0"/>
          <w:sz w:val="24"/>
          <w:szCs w:val="24"/>
          <w14:ligatures w14:val="none"/>
        </w:rPr>
        <w:t>: The insights gleaned from URT can significantly inform the design and implementation of interventions aimed at promoting well-being and fostering resilience among individuals, communities, and societies. Understanding the universal aspects of resilience allows for the development of interventions that are tailored to address specific needs and challenges across different contexts. By identifying common resilience factors, interventions can be more effectively targeted towards enhancing adaptive coping strategies, social support networks, and access to resources, thereby leading to more favorable outcomes in terms of mental health, productivity, and overall quality of life.</w:t>
      </w:r>
    </w:p>
    <w:p w14:paraId="50DC2801" w14:textId="77777777" w:rsidR="00886009" w:rsidRPr="0009687E" w:rsidRDefault="00886009" w:rsidP="00886009">
      <w:pPr>
        <w:numPr>
          <w:ilvl w:val="0"/>
          <w:numId w:val="29"/>
        </w:numPr>
        <w:pBdr>
          <w:top w:val="single" w:sz="2" w:space="0" w:color="E3E3E3"/>
          <w:left w:val="single" w:sz="2" w:space="5" w:color="E3E3E3"/>
          <w:bottom w:val="single" w:sz="2" w:space="0" w:color="E3E3E3"/>
          <w:right w:val="single" w:sz="2" w:space="0" w:color="E3E3E3"/>
        </w:pBdr>
        <w:spacing w:after="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Fostering Community Resilience</w:t>
      </w:r>
      <w:r w:rsidRPr="0009687E">
        <w:rPr>
          <w:rFonts w:asciiTheme="majorHAnsi" w:eastAsia="Times New Roman" w:hAnsiTheme="majorHAnsi" w:cs="Times New Roman"/>
          <w:bCs/>
          <w:kern w:val="0"/>
          <w:sz w:val="24"/>
          <w:szCs w:val="24"/>
          <w14:ligatures w14:val="none"/>
        </w:rPr>
        <w:t>: URT offers valuable insights into the factors that contribute to community resilience, enabling communities to better withstand and recover from adversity. By understanding the dynamics of resilience within communities, interventions can be designed to strengthen social networks, enhance community cohesion, and promote adaptive responses to challenges. This, in turn, empowers communities to build resilience collectively, fostering a sense of solidarity and mutual support that enables them to thrive in the face of change.</w:t>
      </w:r>
    </w:p>
    <w:p w14:paraId="28F7946B" w14:textId="77777777" w:rsidR="00886009" w:rsidRPr="0009687E" w:rsidRDefault="00886009" w:rsidP="00886009">
      <w:pPr>
        <w:numPr>
          <w:ilvl w:val="0"/>
          <w:numId w:val="29"/>
        </w:numPr>
        <w:pBdr>
          <w:top w:val="single" w:sz="2" w:space="0" w:color="E3E3E3"/>
          <w:left w:val="single" w:sz="2" w:space="5" w:color="E3E3E3"/>
          <w:bottom w:val="single" w:sz="2" w:space="0" w:color="E3E3E3"/>
          <w:right w:val="single" w:sz="2" w:space="0" w:color="E3E3E3"/>
        </w:pBdr>
        <w:spacing w:after="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Addressing Social Disparities</w:t>
      </w:r>
      <w:r w:rsidRPr="0009687E">
        <w:rPr>
          <w:rFonts w:asciiTheme="majorHAnsi" w:eastAsia="Times New Roman" w:hAnsiTheme="majorHAnsi" w:cs="Times New Roman"/>
          <w:bCs/>
          <w:kern w:val="0"/>
          <w:sz w:val="24"/>
          <w:szCs w:val="24"/>
          <w14:ligatures w14:val="none"/>
        </w:rPr>
        <w:t>: One of the most significant contributions of URT lies in its recognition of the universality of resilience, regardless of individual and contextual differences. By acknowledging this universality, URT underscores the importance of addressing social disparities and systemic inequalities that impact individuals' capacity to adapt and thrive. Through advocacy for policies and programs that promote social justice, equity, and inclusion, URT has the potential to contribute to creating environments that support resilience for all individuals, regardless of their background or circumstances.</w:t>
      </w:r>
    </w:p>
    <w:p w14:paraId="3D058F7C"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II</w:t>
      </w:r>
      <w:r w:rsidRPr="0009687E">
        <w:rPr>
          <w:rStyle w:val="Heading2Char"/>
          <w:bCs/>
          <w:sz w:val="24"/>
          <w:szCs w:val="24"/>
        </w:rPr>
        <w:t>. Literature Review</w:t>
      </w:r>
    </w:p>
    <w:p w14:paraId="195E4DE2"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A. Theoretical Frameworks of Resilience</w:t>
      </w:r>
    </w:p>
    <w:p w14:paraId="51DE95AA"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While existing theoretical frameworks of resilience, such as ecological systems theory, the resilience framework, and the biopsychosocial model, have provided valuable insights into the factors that influence individuals' ability to cope with adversity, they often fall short in capturing the full complexity of resilience across diverse individuals and contexts.</w:t>
      </w:r>
    </w:p>
    <w:p w14:paraId="63208E4C"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Ecological Systems Theory</w:t>
      </w:r>
      <w:r w:rsidRPr="0009687E">
        <w:rPr>
          <w:rFonts w:asciiTheme="majorHAnsi" w:eastAsia="Times New Roman" w:hAnsiTheme="majorHAnsi" w:cs="Times New Roman"/>
          <w:bCs/>
          <w:kern w:val="0"/>
          <w:sz w:val="24"/>
          <w:szCs w:val="24"/>
          <w14:ligatures w14:val="none"/>
        </w:rPr>
        <w:t>: Developed by Urie Bronfenbrenner, ecological systems theory emphasizes the importance of understanding individuals within the context of their environments. While this framework provides a valuable ecological perspective on resilience, it may overlook the universality of resilience and the common factors that contribute to resilience across different contexts. By focusing primarily on the interactions between individuals and their immediate social, cultural, and physical surroundings, ecological systems theory may fail to capture the broader systemic factors that shape resilience outcomes.</w:t>
      </w:r>
    </w:p>
    <w:p w14:paraId="72FFD6E4"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The Resilience Framework</w:t>
      </w:r>
      <w:r w:rsidRPr="0009687E">
        <w:rPr>
          <w:rFonts w:asciiTheme="majorHAnsi" w:eastAsia="Times New Roman" w:hAnsiTheme="majorHAnsi" w:cs="Times New Roman"/>
          <w:bCs/>
          <w:kern w:val="0"/>
          <w:sz w:val="24"/>
          <w:szCs w:val="24"/>
          <w14:ligatures w14:val="none"/>
        </w:rPr>
        <w:t>: Pioneered by researchers like Emmy Werner and Michael Rutter, the resilience framework highlights the dynamic nature of resilience and the importance of adaptation and growth in response to adversity. While this framework acknowledges the role of individual and contextual factors in shaping resilience, it may lack specificity in identifying common resilience factors that transcend individual and contextual differences. The resilience framework often focuses on specific populations or contexts, leading to fragmented understandings of resilience that may not fully capture its complexity across diverse individuals and settings.</w:t>
      </w:r>
    </w:p>
    <w:p w14:paraId="5BE3EE80"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The Biopsychosocial Model</w:t>
      </w:r>
      <w:r w:rsidRPr="0009687E">
        <w:rPr>
          <w:rFonts w:asciiTheme="majorHAnsi" w:eastAsia="Times New Roman" w:hAnsiTheme="majorHAnsi" w:cs="Times New Roman"/>
          <w:bCs/>
          <w:kern w:val="0"/>
          <w:sz w:val="24"/>
          <w:szCs w:val="24"/>
          <w14:ligatures w14:val="none"/>
        </w:rPr>
        <w:t>: The biopsychosocial model integrates biological, psychological, and social factors to understand resilience. While this model offers a holistic perspective on resilience, it may overlook the universality of resilience and the common processes that underlie adaptive coping across diverse populations. By examining the interplay between biological, psychological, and social factors, the biopsychosocial model provides valuable insights into the mechanisms underlying resilience. However, it may fail to capture the broader systemic factors that shape resilience outcomes, such as systemic inequalities, social determinants of health, and structural barriers to well-being.</w:t>
      </w:r>
    </w:p>
    <w:p w14:paraId="52418023"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Overall, while these theoretical frameworks have advanced our understanding of resilience, there remains a need for a more comprehensive and inclusive approach that accounts for the universality of resilience across diverse individuals and contexts. Universal Resilience Theory (URT) emerges as a promising framework that transcends individual and contextual differences to provide a more holistic understanding of resilience.</w:t>
      </w:r>
    </w:p>
    <w:p w14:paraId="35DD9E2D"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 xml:space="preserve">III. </w:t>
      </w:r>
      <w:r w:rsidRPr="0009687E">
        <w:rPr>
          <w:rFonts w:asciiTheme="majorHAnsi" w:eastAsia="Times New Roman" w:hAnsiTheme="majorHAnsi" w:cs="Times New Roman"/>
          <w:bCs/>
          <w:kern w:val="0"/>
          <w:sz w:val="24"/>
          <w:szCs w:val="24"/>
          <w:bdr w:val="single" w:sz="2" w:space="0" w:color="E3E3E3" w:frame="1"/>
          <w14:ligatures w14:val="none"/>
        </w:rPr>
        <w:t>Methodology</w:t>
      </w:r>
    </w:p>
    <w:p w14:paraId="1209E790"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The methodology employed in URT research endeavors to capture the multifaceted nature of resilience and its manifestation across diverse populations and contexts.</w:t>
      </w:r>
    </w:p>
    <w:p w14:paraId="2105302B"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A. Research Design</w:t>
      </w:r>
    </w:p>
    <w:p w14:paraId="5F15A594"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A mixed-methods approach is often adopted in URT research, combining quantitative surveys and qualitative interviews to unravel the universality of resilience and identify common factors contributing to resilience. This approach allows researchers to gather comprehensive data on resilience traits, coping strategies, and well-being, while also exploring the subjective experiences and narratives of individuals.</w:t>
      </w:r>
    </w:p>
    <w:p w14:paraId="5C7E154D"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B. Participant Selection</w:t>
      </w:r>
    </w:p>
    <w:p w14:paraId="6C041272"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A diverse sample representing a broad spectrum of ages, cultures, and socioeconomic backgrounds is recruited to ensure inclusivity and diversity in URT research. Efforts are made to amplify the voices of marginalized and underrepresented populations, ensuring that the research findings are reflective of the experiences of all individuals, regardless of their background or circumstances.</w:t>
      </w:r>
    </w:p>
    <w:p w14:paraId="734499B2"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C. Data Collection Procedures</w:t>
      </w:r>
    </w:p>
    <w:p w14:paraId="29C92C4A"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Quantitative surveys and qualitative interviews are employed to collect comprehensive data on resilience traits, coping strategies, and well-being. Ethical considerations are paramount, with informed consent sought from all participants to ensure that their rights and privacy are protected throughout the research process.</w:t>
      </w:r>
    </w:p>
    <w:p w14:paraId="25B4D8A5"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D. Data Analysis</w:t>
      </w:r>
    </w:p>
    <w:p w14:paraId="25E7E98A"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Quantitative data undergo statistical analyses, while qualitative data are subjected to thematic analysis to uncover patterns and themes related to resilience. By triangulating data from multiple sources, researchers can gain a more nuanced understanding of resilience and its manifestation across diverse populations and contexts.</w:t>
      </w:r>
    </w:p>
    <w:p w14:paraId="4CF7246E"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 xml:space="preserve">IV. </w:t>
      </w:r>
      <w:r w:rsidRPr="0009687E">
        <w:rPr>
          <w:rFonts w:asciiTheme="majorHAnsi" w:eastAsia="Times New Roman" w:hAnsiTheme="majorHAnsi" w:cs="Times New Roman"/>
          <w:bCs/>
          <w:kern w:val="0"/>
          <w:sz w:val="24"/>
          <w:szCs w:val="24"/>
          <w:bdr w:val="single" w:sz="2" w:space="0" w:color="E3E3E3" w:frame="1"/>
          <w14:ligatures w14:val="none"/>
        </w:rPr>
        <w:t>Findings</w:t>
      </w:r>
    </w:p>
    <w:p w14:paraId="403D6CDF"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A. Quantitative Results</w:t>
      </w:r>
    </w:p>
    <w:p w14:paraId="0F8689D8"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Quantitative analyses unveil patterns of resilience traits across demographic groups, shedding light on the factors predicting resilience levels and elucidating the intricate relationship between resilience and well-being. Through statistical analyses, researchers quantify the extent to which resilience manifests across diverse populations and contexts, identifying common factors that contribute to resilience outcomes.</w:t>
      </w:r>
    </w:p>
    <w:p w14:paraId="3762ED59"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B. Qualitative Insights</w:t>
      </w:r>
    </w:p>
    <w:p w14:paraId="69384CEA"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Qualitative analyses provide nuanced insights into individuals' lived experiences of resilience, offering poignant personal narratives and illuminating the contextual factors that shape resilience across diverse contexts. Through qualitative inquiry, researchers capture the richness and complexity of resilience experiences, complementing quantitative findings and providing a holistic understanding of resilience.</w:t>
      </w:r>
    </w:p>
    <w:p w14:paraId="2FEBA831"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 xml:space="preserve">V. </w:t>
      </w:r>
      <w:r w:rsidRPr="0009687E">
        <w:rPr>
          <w:rFonts w:asciiTheme="majorHAnsi" w:eastAsia="Times New Roman" w:hAnsiTheme="majorHAnsi" w:cs="Times New Roman"/>
          <w:bCs/>
          <w:kern w:val="0"/>
          <w:sz w:val="24"/>
          <w:szCs w:val="24"/>
          <w:bdr w:val="single" w:sz="2" w:space="0" w:color="E3E3E3" w:frame="1"/>
          <w14:ligatures w14:val="none"/>
        </w:rPr>
        <w:t>Discussion</w:t>
      </w:r>
    </w:p>
    <w:p w14:paraId="7EA02AF3"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A. Interpretation of Findings</w:t>
      </w:r>
    </w:p>
    <w:p w14:paraId="619CB399"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Findings are meticulously interpreted to gauge support for URT hypotheses and explore implications for theory, practice, and policy. Through critical analysis and synthesis of empirical evidence, researchers elucidate the underlying mechanisms driving resilience and inform interventions aimed at fostering resilience across diverse populations and settings.</w:t>
      </w:r>
    </w:p>
    <w:p w14:paraId="53A2D038"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B. Limitations and Future Directions</w:t>
      </w:r>
    </w:p>
    <w:p w14:paraId="281AD3CE"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The study candidly acknowledges methodological limitations and biases while charting out pathways for future research aimed at further advancing our understanding of universal resilience. By identifying limitations and areas for future inquiry, the study contributes to ongoing efforts to enhance our understanding of resilience and inform future research endeavors.</w:t>
      </w:r>
    </w:p>
    <w:p w14:paraId="283C490C"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bdr w:val="single" w:sz="2" w:space="0" w:color="E3E3E3" w:frame="1"/>
          <w14:ligatures w14:val="none"/>
        </w:rPr>
        <w:t>C. Conclusion</w:t>
      </w:r>
    </w:p>
    <w:p w14:paraId="2BCB2894"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In conclusion, the study's findings hold the potential to reshape the narrative surrounding resilience, paving the way for a future where resilience is not a privilege but a birthright for all individuals and communities. Through the lens of Universal Resilience Theory (URT), we embark on a transformative journey towards a more resilient and equitable world, where individuals and communities thrive amidst adversity.</w:t>
      </w:r>
    </w:p>
    <w:p w14:paraId="2BE079BA"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3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 xml:space="preserve">VI. </w:t>
      </w:r>
      <w:r w:rsidRPr="0009687E">
        <w:rPr>
          <w:rFonts w:asciiTheme="majorHAnsi" w:eastAsia="Times New Roman" w:hAnsiTheme="majorHAnsi" w:cs="Times New Roman"/>
          <w:bCs/>
          <w:kern w:val="0"/>
          <w:sz w:val="24"/>
          <w:szCs w:val="24"/>
          <w:bdr w:val="single" w:sz="2" w:space="0" w:color="E3E3E3" w:frame="1"/>
          <w14:ligatures w14:val="none"/>
        </w:rPr>
        <w:t>Significance of the Study Revisited</w:t>
      </w:r>
    </w:p>
    <w:p w14:paraId="5DAAA4BE"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pacing w:before="300" w:after="100" w:line="240" w:lineRule="auto"/>
        <w:rPr>
          <w:rFonts w:asciiTheme="majorHAnsi" w:eastAsia="Times New Roman" w:hAnsiTheme="majorHAnsi" w:cs="Times New Roman"/>
          <w:bCs/>
          <w:kern w:val="0"/>
          <w:sz w:val="24"/>
          <w:szCs w:val="24"/>
          <w14:ligatures w14:val="none"/>
        </w:rPr>
      </w:pPr>
      <w:r w:rsidRPr="0009687E">
        <w:rPr>
          <w:rFonts w:asciiTheme="majorHAnsi" w:eastAsia="Times New Roman" w:hAnsiTheme="majorHAnsi" w:cs="Times New Roman"/>
          <w:bCs/>
          <w:kern w:val="0"/>
          <w:sz w:val="24"/>
          <w:szCs w:val="24"/>
          <w14:ligatures w14:val="none"/>
        </w:rPr>
        <w:t>Universal Resilience Theory (URT) offers valuable insights and strategies for business professionals to navigate the complexities of the modern business landscape with resilience, adaptability, and determination. By understanding the core tenets, key components, and implications of URT, business professionals can cultivate resilience both individually and collectively, contributing to their own success and the resilience of their organizations and communities. Additionally, URT holds profound significance for research, practice, and policy across various fields, informing interventions, fostering community resilience, and addressing social disparities. By elucidating the universality of resilience and identifying common factors that contribute to resilience across diverse populations and contexts, URT has the potential to catalyze positive change and empower individuals and communities to thrive amidst adversity.</w:t>
      </w:r>
    </w:p>
    <w:p w14:paraId="767EF47F" w14:textId="77777777" w:rsidR="00886009" w:rsidRPr="0009687E" w:rsidRDefault="00886009" w:rsidP="00886009">
      <w:pPr>
        <w:pBdr>
          <w:bottom w:val="single" w:sz="6" w:space="1" w:color="auto"/>
        </w:pBdr>
        <w:spacing w:after="0" w:line="240" w:lineRule="auto"/>
        <w:jc w:val="center"/>
        <w:rPr>
          <w:rFonts w:asciiTheme="majorHAnsi" w:eastAsia="Times New Roman" w:hAnsiTheme="majorHAnsi" w:cs="Arial"/>
          <w:bCs/>
          <w:vanish/>
          <w:kern w:val="0"/>
          <w:sz w:val="24"/>
          <w:szCs w:val="24"/>
          <w14:ligatures w14:val="none"/>
        </w:rPr>
      </w:pPr>
      <w:r w:rsidRPr="0009687E">
        <w:rPr>
          <w:rFonts w:asciiTheme="majorHAnsi" w:eastAsia="Times New Roman" w:hAnsiTheme="majorHAnsi" w:cs="Arial"/>
          <w:bCs/>
          <w:vanish/>
          <w:kern w:val="0"/>
          <w:sz w:val="24"/>
          <w:szCs w:val="24"/>
          <w14:ligatures w14:val="none"/>
        </w:rPr>
        <w:t>Top of Form</w:t>
      </w:r>
    </w:p>
    <w:p w14:paraId="7F76A66B"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Ecological Systems Theory</w:t>
      </w:r>
      <w:r w:rsidRPr="0009687E">
        <w:rPr>
          <w:rFonts w:asciiTheme="majorHAnsi" w:hAnsiTheme="majorHAnsi" w:cs="Segoe UI"/>
          <w:bCs/>
          <w:color w:val="0D0D0D"/>
        </w:rPr>
        <w:t xml:space="preserve">: Proposed by Urie Bronfenbrenner in the 1970s, ecological systems theory highlights the importance of understanding individuals within the context of their environments. Bronfenbrenner's theory introduced the concept of nested environmental systems, including the microsystem, mesosystem, </w:t>
      </w:r>
      <w:proofErr w:type="spellStart"/>
      <w:r w:rsidRPr="0009687E">
        <w:rPr>
          <w:rFonts w:asciiTheme="majorHAnsi" w:hAnsiTheme="majorHAnsi" w:cs="Segoe UI"/>
          <w:bCs/>
          <w:color w:val="0D0D0D"/>
        </w:rPr>
        <w:t>exosystem</w:t>
      </w:r>
      <w:proofErr w:type="spellEnd"/>
      <w:r w:rsidRPr="0009687E">
        <w:rPr>
          <w:rFonts w:asciiTheme="majorHAnsi" w:hAnsiTheme="majorHAnsi" w:cs="Segoe UI"/>
          <w:bCs/>
          <w:color w:val="0D0D0D"/>
        </w:rPr>
        <w:t>, macrosystem, and chronosystem. These systems interact dynamically to influence individuals' development and resilience. However, while this framework provides valuable insights into how environmental factors shape resilience, it may not fully capture the universality of resilience across diverse individuals and contexts.</w:t>
      </w:r>
    </w:p>
    <w:p w14:paraId="05DB417F" w14:textId="77777777" w:rsidR="00886009" w:rsidRPr="0009687E" w:rsidRDefault="00886009" w:rsidP="00886009">
      <w:pPr>
        <w:pStyle w:val="NormalWeb"/>
        <w:numPr>
          <w:ilvl w:val="0"/>
          <w:numId w:val="1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The Resilience Framework</w:t>
      </w:r>
      <w:r w:rsidRPr="0009687E">
        <w:rPr>
          <w:rFonts w:asciiTheme="majorHAnsi" w:hAnsiTheme="majorHAnsi" w:cs="Segoe UI"/>
          <w:bCs/>
          <w:color w:val="0D0D0D"/>
        </w:rPr>
        <w:t>: Developed in the late 20th century by researchers such as Emmy Werner and Michael Rutter, the resilience framework emphasizes the dynamic nature of resilience and the importance of adaptation and growth in response to adversity. Werner's longitudinal studies of resilient children in Hawaii and Rutter's research on protective factors in child development contributed to the formation of this framework. While the resilience framework acknowledges the role of both individual and contextual factors in resilience, it may lack specificity in identifying common resilience factors that transcend individual and contextual differences.</w:t>
      </w:r>
    </w:p>
    <w:p w14:paraId="476C6AE5" w14:textId="77777777" w:rsidR="00886009" w:rsidRPr="0009687E" w:rsidRDefault="00886009" w:rsidP="00886009">
      <w:pPr>
        <w:pStyle w:val="NormalWeb"/>
        <w:numPr>
          <w:ilvl w:val="0"/>
          <w:numId w:val="14"/>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Biopsychosocial Model</w:t>
      </w:r>
      <w:r w:rsidRPr="0009687E">
        <w:rPr>
          <w:rFonts w:asciiTheme="majorHAnsi" w:hAnsiTheme="majorHAnsi" w:cs="Segoe UI"/>
          <w:bCs/>
          <w:color w:val="0D0D0D"/>
        </w:rPr>
        <w:t>: Originating in the field of medicine, the biopsychosocial model was proposed by George Engel in 1977 as an alternative to the biomedical model of health. This model integrates biological, psychological, and social factors to understand resilience and health outcomes. While the biopsychosocial model offers a holistic perspective on resilience, it may not fully capture the universality of resilience and the common processes that underlie adaptive coping across diverse populations.</w:t>
      </w:r>
    </w:p>
    <w:p w14:paraId="254DB127"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Segoe UI"/>
          <w:bCs/>
          <w:color w:val="0D0D0D"/>
        </w:rPr>
      </w:pPr>
      <w:r w:rsidRPr="0009687E">
        <w:rPr>
          <w:rFonts w:asciiTheme="majorHAnsi" w:hAnsiTheme="majorHAnsi" w:cs="Segoe UI"/>
          <w:bCs/>
          <w:color w:val="0D0D0D"/>
        </w:rPr>
        <w:t>These theoretical frameworks have laid the groundwork for understanding resilience, but they also highlight the need for a more comprehensive approach that accounts for the complexity and universality of resilience across diverse individuals and contexts. This recognition has led to the development of Universal Resilience Theory (URT), which seeks to integrate insights from existing frameworks while addressing their limitations.</w:t>
      </w:r>
    </w:p>
    <w:p w14:paraId="3091F677"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p>
    <w:p w14:paraId="6AA91024"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B. Critique of Existing Approaches</w:t>
      </w:r>
    </w:p>
    <w:p w14:paraId="72DD17E8"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Existing approaches to resilience research and theory development have made significant contributions to our understanding of resilience. However, these approaches may have limitations in addressing the universality of resilience and identifying common factors that contribute to resilience across diverse individuals and contexts.</w:t>
      </w:r>
    </w:p>
    <w:p w14:paraId="26EB0F87"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One limitation of existing approaches is their focus on specific populations or contexts, which may limit their generalizability to other groups or settings. For example, resilience frameworks developed in Western cultures may not fully capture the experiences of individuals from non-Western cultures, leading to a narrow understanding of resilience.</w:t>
      </w:r>
    </w:p>
    <w:p w14:paraId="22BF656B"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Another limitation is the tendency to overlook the role of structural factors, such as socioeconomic status, discrimination, and access to resources, in shaping resilience. By focusing primarily on individual-level factors, existing approaches may fail to address the systemic inequalities that impact individuals' capacity to cope with adversity.</w:t>
      </w:r>
    </w:p>
    <w:p w14:paraId="23A27644"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p>
    <w:p w14:paraId="2A9FD19E"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C. Conceptualization of Universal Resilience</w:t>
      </w:r>
    </w:p>
    <w:p w14:paraId="503955BE"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To address the limitations of existing approaches and advance our understanding of resilience, we propose a conceptual framework of Universal Resilience Theory (URT). URT integrates insights from existing resilience frameworks and seeks to identify common factors and processes that contribute to resilience across diverse individuals and contexts.</w:t>
      </w:r>
    </w:p>
    <w:p w14:paraId="429B2E78"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At the core of URT is the concept of universal resilience, defined as the capacity of individuals and communities to adaptively respond to adversity and thrive across diverse cultural, social, and environmental contexts. Universal resilience encompasses both individual-level factors, such as cognitive, emotional, and social resources, and contextual factors, such as social support, economic opportunities, and environmental conditions.</w:t>
      </w:r>
    </w:p>
    <w:p w14:paraId="56528044"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Segoe UI"/>
          <w:bCs/>
          <w:color w:val="0D0D0D"/>
        </w:rPr>
      </w:pPr>
      <w:r w:rsidRPr="0009687E">
        <w:rPr>
          <w:rFonts w:asciiTheme="majorHAnsi" w:hAnsiTheme="majorHAnsi" w:cs="Segoe UI"/>
          <w:bCs/>
          <w:color w:val="0D0D0D"/>
        </w:rPr>
        <w:t>By conceptualizing resilience as a universal phenomenon that transcends individual and contextual differences, URT provides a more inclusive framework for understanding resilience and informing interventions, policies, and practices aimed at promoting well-being and fostering resilience for all individuals and communities.</w:t>
      </w:r>
    </w:p>
    <w:p w14:paraId="360FA644"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D. Empirical Evidence Supporting URT</w:t>
      </w:r>
    </w:p>
    <w:p w14:paraId="116A5852"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Empirical evidence supporting Universal Resilience Theory (URT) is essential for validating its conceptual framework and demonstrating its applicability across diverse populations and contexts. By conducting empirical research that investigates the factors contributing to resilience and their universality, we can strengthen the theoretical foundation of URT and provide empirical support for its key tenets.</w:t>
      </w:r>
    </w:p>
    <w:p w14:paraId="37CAFE8F"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III. Methodology</w:t>
      </w:r>
    </w:p>
    <w:p w14:paraId="01947358"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A. Research Design</w:t>
      </w:r>
    </w:p>
    <w:p w14:paraId="37199DB5" w14:textId="77777777" w:rsidR="00886009" w:rsidRPr="0009687E" w:rsidRDefault="00886009" w:rsidP="00886009">
      <w:pPr>
        <w:pStyle w:val="NormalWeb"/>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Mixed-Methods Approach</w:t>
      </w:r>
      <w:r w:rsidRPr="0009687E">
        <w:rPr>
          <w:rFonts w:asciiTheme="majorHAnsi" w:hAnsiTheme="majorHAnsi" w:cs="Segoe UI"/>
          <w:bCs/>
          <w:color w:val="0D0D0D"/>
        </w:rPr>
        <w:t>: To comprehensively examine the universality of resilience and identify common factors contributing to resilience across diverse populations, a mixed-methods approach will be employed. This approach combines quantitative surveys and qualitative interviews to provide a multifaceted understanding of resilience and its determinants.</w:t>
      </w:r>
    </w:p>
    <w:p w14:paraId="6CC3FF12" w14:textId="77777777" w:rsidR="00886009" w:rsidRPr="0009687E" w:rsidRDefault="00886009" w:rsidP="00886009">
      <w:pPr>
        <w:pStyle w:val="NormalWeb"/>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Quantitative Surveys</w:t>
      </w:r>
      <w:r w:rsidRPr="0009687E">
        <w:rPr>
          <w:rFonts w:asciiTheme="majorHAnsi" w:hAnsiTheme="majorHAnsi" w:cs="Segoe UI"/>
          <w:bCs/>
          <w:color w:val="0D0D0D"/>
        </w:rPr>
        <w:t>: Quantitative surveys will be used to collect data on resilience traits, coping strategies, and well-being across different demographic groups. Standardized measures of resilience, such as the Connor-Davidson Resilience Scale, will be administered to assess individuals' resilience levels. Additionally, demographic information and other relevant variables will be collected to explore potential predictors of resilience.</w:t>
      </w:r>
    </w:p>
    <w:p w14:paraId="361D446F" w14:textId="77777777" w:rsidR="00886009" w:rsidRPr="0009687E" w:rsidRDefault="00886009" w:rsidP="00886009">
      <w:pPr>
        <w:pStyle w:val="NormalWeb"/>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Qualitative Interviews</w:t>
      </w:r>
      <w:r w:rsidRPr="0009687E">
        <w:rPr>
          <w:rFonts w:asciiTheme="majorHAnsi" w:hAnsiTheme="majorHAnsi" w:cs="Segoe UI"/>
          <w:bCs/>
          <w:color w:val="0D0D0D"/>
        </w:rPr>
        <w:t>: Qualitative interviews will be conducted to explore individuals' experiences of resilience in-depth and gain insights into the subjective meaning and contextual factors shaping resilience. Semi-structured interviews will be conducted with a subset of participants to elicit personal narratives of resilience, perceptions of universal resilience, and factors influencing resilience across different contexts.</w:t>
      </w:r>
    </w:p>
    <w:p w14:paraId="1BD72992"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B. Participant Selection</w:t>
      </w:r>
    </w:p>
    <w:p w14:paraId="28629850"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Participant selection will aim to recruit a diverse sample representing individuals from different ages, cultures, and socioeconomic backgrounds. Recruitment efforts will be conducted through various channels, including community organizations, educational institutions, and online platforms. Inclusion criteria will be established to ensure representation from diverse demographic groups and to capture a wide range of resilience experiences.</w:t>
      </w:r>
    </w:p>
    <w:p w14:paraId="6979F978"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proofErr w:type="gramStart"/>
      <w:r w:rsidRPr="0009687E">
        <w:rPr>
          <w:rFonts w:asciiTheme="majorHAnsi" w:hAnsiTheme="majorHAnsi" w:cs="Segoe UI"/>
          <w:bCs/>
          <w:color w:val="0D0D0D"/>
        </w:rPr>
        <w:t>In particular, efforts</w:t>
      </w:r>
      <w:proofErr w:type="gramEnd"/>
      <w:r w:rsidRPr="0009687E">
        <w:rPr>
          <w:rFonts w:asciiTheme="majorHAnsi" w:hAnsiTheme="majorHAnsi" w:cs="Segoe UI"/>
          <w:bCs/>
          <w:color w:val="0D0D0D"/>
        </w:rPr>
        <w:t xml:space="preserve"> will be made to include marginalized and underrepresented populations to ensure the inclusivity and diversity of the sample. Recruitment strategies will be tailored to the specific characteristics of the target populations, with sensitivity to cultural norms and preferences.</w:t>
      </w:r>
    </w:p>
    <w:p w14:paraId="07646A95"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Potential participants will be informed about the study's objectives, procedures, and potential risks and benefits, and informed consent will be obtained prior to participation. Ethical considerations, including confidentiality and voluntary participation, will be upheld throughout the research process to ensure the protection of participants' rights and well-being.</w:t>
      </w:r>
    </w:p>
    <w:p w14:paraId="32597E84"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Segoe UI"/>
          <w:bCs/>
          <w:color w:val="0D0D0D"/>
        </w:rPr>
      </w:pPr>
      <w:r w:rsidRPr="0009687E">
        <w:rPr>
          <w:rFonts w:asciiTheme="majorHAnsi" w:hAnsiTheme="majorHAnsi" w:cs="Segoe UI"/>
          <w:bCs/>
          <w:color w:val="0D0D0D"/>
        </w:rPr>
        <w:t xml:space="preserve">By employing a rigorous </w:t>
      </w:r>
      <w:proofErr w:type="gramStart"/>
      <w:r w:rsidRPr="0009687E">
        <w:rPr>
          <w:rFonts w:asciiTheme="majorHAnsi" w:hAnsiTheme="majorHAnsi" w:cs="Segoe UI"/>
          <w:bCs/>
          <w:color w:val="0D0D0D"/>
        </w:rPr>
        <w:t>mixed-methods</w:t>
      </w:r>
      <w:proofErr w:type="gramEnd"/>
      <w:r w:rsidRPr="0009687E">
        <w:rPr>
          <w:rFonts w:asciiTheme="majorHAnsi" w:hAnsiTheme="majorHAnsi" w:cs="Segoe UI"/>
          <w:bCs/>
          <w:color w:val="0D0D0D"/>
        </w:rPr>
        <w:t xml:space="preserve"> approach and recruiting a diverse sample of participants, the study aims to generate empirical evidence that supports the principles of Universal Resilience Theory and advances our understanding of resilience as a universal phenomenon. Through systematic data collection and analysis, the study seeks to contribute to the empirical foundation of URT and inform interventions, policies, and practices aimed at promoting resilience and well-being across diverse populations and contexts.</w:t>
      </w:r>
    </w:p>
    <w:p w14:paraId="2E57641F"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br/>
        <w:t>I. Diverse Sample Representing Different Ages, Cultures, and Socioeconomic Backgrounds</w:t>
      </w:r>
    </w:p>
    <w:p w14:paraId="69A8CEC1"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To ensure the inclusivity and diversity of the sample, participant selection will target individuals spanning different age groups, cultural backgrounds, and socioeconomic statuses. This diverse sampling strategy aims to capture a wide range of resilience experiences and perspectives, allowing for a comprehensive exploration of universal resilience across various demographic categories.</w:t>
      </w:r>
    </w:p>
    <w:p w14:paraId="0C10A59F"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Efforts will be made to recruit participants from diverse cultural and ethnic backgrounds, including individuals from minority groups and underrepresented communities. Additionally, participants will be selected from different age cohorts, ranging from children and adolescents to adults and older adults, to examine resilience across the lifespan. Socioeconomic diversity will also be prioritized, with participants recruited from varying socioeconomic backgrounds to reflect different levels of income, education, and employment status.</w:t>
      </w:r>
    </w:p>
    <w:p w14:paraId="75AE80A0"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Recruitment strategies will include outreach through community organizations, schools, workplaces, and online platforms. Informed consent will be obtained from all participants, and ethical considerations regarding confidentiality and voluntary participation will be upheld throughout the research process.</w:t>
      </w:r>
    </w:p>
    <w:p w14:paraId="42897F59"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 Data Collection Procedures</w:t>
      </w:r>
    </w:p>
    <w:p w14:paraId="2FE751AC" w14:textId="77777777" w:rsidR="00886009" w:rsidRPr="0009687E" w:rsidRDefault="00886009" w:rsidP="00886009">
      <w:pPr>
        <w:numPr>
          <w:ilvl w:val="0"/>
          <w:numId w:val="1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Surveys Assessing Resilience Traits, Coping Strategies, and Well-Being</w:t>
      </w:r>
      <w:r w:rsidRPr="0009687E">
        <w:rPr>
          <w:rFonts w:asciiTheme="majorHAnsi" w:eastAsia="Times New Roman" w:hAnsiTheme="majorHAnsi" w:cs="Segoe UI"/>
          <w:bCs/>
          <w:color w:val="0D0D0D"/>
          <w:kern w:val="0"/>
          <w:sz w:val="24"/>
          <w:szCs w:val="24"/>
          <w14:ligatures w14:val="none"/>
        </w:rPr>
        <w:t>: Quantitative surveys will be administered to collect data on resilience traits, coping strategies, and well-being. Standardized measures, such as the Resilience Scale for Adults (RSA) and the Brief Coping Orientation to Problems Experienced (COPE) scale, will be utilized to assess resilience and coping strategies. Additionally, measures of well-being, such as the Satisfaction with Life Scale (SWLS) and the Psychological Well-Being Scale (PWB), will be included to examine the relationship between resilience and subjective well-being.</w:t>
      </w:r>
    </w:p>
    <w:p w14:paraId="5835133E" w14:textId="77777777" w:rsidR="00886009" w:rsidRPr="0009687E" w:rsidRDefault="00886009" w:rsidP="00886009">
      <w:pPr>
        <w:numPr>
          <w:ilvl w:val="0"/>
          <w:numId w:val="1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In-Depth Interviews Exploring Resilience Experiences and Perspectives</w:t>
      </w:r>
      <w:r w:rsidRPr="0009687E">
        <w:rPr>
          <w:rFonts w:asciiTheme="majorHAnsi" w:eastAsia="Times New Roman" w:hAnsiTheme="majorHAnsi" w:cs="Segoe UI"/>
          <w:bCs/>
          <w:color w:val="0D0D0D"/>
          <w:kern w:val="0"/>
          <w:sz w:val="24"/>
          <w:szCs w:val="24"/>
          <w14:ligatures w14:val="none"/>
        </w:rPr>
        <w:t>: Qualitative interviews will be conducted to explore individuals' experiences of resilience in-depth and gain insights into the contextual factors shaping resilience. Semi-structured interviews will be conducted with a subset of participants to elicit personal narratives of resilience, perceptions of universal resilience, and factors influencing resilience across different contexts. Interviews will be audio-recorded with participants' consent and transcribed verbatim for analysis.</w:t>
      </w:r>
    </w:p>
    <w:p w14:paraId="0730109C"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D. Data Analysis</w:t>
      </w:r>
    </w:p>
    <w:p w14:paraId="59F9F767" w14:textId="77777777" w:rsidR="00886009" w:rsidRPr="0009687E" w:rsidRDefault="00886009" w:rsidP="00886009">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Quantitative Analysis: Statistical Tests (e.g., ANOVA, Regression) to Identify Correlates of Resilience</w:t>
      </w:r>
      <w:r w:rsidRPr="0009687E">
        <w:rPr>
          <w:rFonts w:asciiTheme="majorHAnsi" w:eastAsia="Times New Roman" w:hAnsiTheme="majorHAnsi" w:cs="Segoe UI"/>
          <w:bCs/>
          <w:color w:val="0D0D0D"/>
          <w:kern w:val="0"/>
          <w:sz w:val="24"/>
          <w:szCs w:val="24"/>
          <w14:ligatures w14:val="none"/>
        </w:rPr>
        <w:t>: Quantitative data collected from surveys will be analyzed using statistical techniques, such as analysis of variance (ANOVA) and regression analysis, to identify correlates of resilience. Demographic variables, such as age, gender, ethnicity, and socioeconomic status, will be examined as potential predictors of resilience. Additionally, correlations between resilience, coping strategies, and well-being will be explored to understand their interrelationships.</w:t>
      </w:r>
    </w:p>
    <w:p w14:paraId="6595163D" w14:textId="77777777" w:rsidR="00886009" w:rsidRPr="0009687E" w:rsidRDefault="00886009" w:rsidP="00886009">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Qualitative Analysis: Thematic Analysis of Interview Transcripts to Identify Patterns and Themes</w:t>
      </w:r>
      <w:r w:rsidRPr="0009687E">
        <w:rPr>
          <w:rFonts w:asciiTheme="majorHAnsi" w:eastAsia="Times New Roman" w:hAnsiTheme="majorHAnsi" w:cs="Segoe UI"/>
          <w:bCs/>
          <w:color w:val="0D0D0D"/>
          <w:kern w:val="0"/>
          <w:sz w:val="24"/>
          <w:szCs w:val="24"/>
          <w14:ligatures w14:val="none"/>
        </w:rPr>
        <w:t>: Qualitative data collected from interviews will be analyzed using thematic analysis to identify patterns, themes, and categories related to resilience experiences and perspectives. Transcripts will be coded and analyzed iteratively to identify recurring themes and variations in participants' narratives. Themes will be organized into coherent categories and interpreted in relation to the research objectives and theoretical framework of Universal Resilience Theory.</w:t>
      </w:r>
    </w:p>
    <w:p w14:paraId="23830A9D"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IV. Findings</w:t>
      </w:r>
    </w:p>
    <w:p w14:paraId="753AE473"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A. Quantitative Results</w:t>
      </w:r>
    </w:p>
    <w:p w14:paraId="6F5B118D"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Quantitative Analysis of Resilience Traits Across Different Demographic Groups</w:t>
      </w:r>
    </w:p>
    <w:p w14:paraId="13BD3F25" w14:textId="77777777" w:rsidR="00886009" w:rsidRPr="0009687E" w:rsidRDefault="00886009" w:rsidP="00886009">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Age</w:t>
      </w:r>
      <w:r w:rsidRPr="0009687E">
        <w:rPr>
          <w:rFonts w:asciiTheme="majorHAnsi" w:eastAsia="Times New Roman" w:hAnsiTheme="majorHAnsi" w:cs="Segoe UI"/>
          <w:bCs/>
          <w:color w:val="0D0D0D"/>
          <w:kern w:val="0"/>
          <w:sz w:val="24"/>
          <w:szCs w:val="24"/>
          <w14:ligatures w14:val="none"/>
        </w:rPr>
        <w:t>: The quantitative analysis will delve into how resilience traits vary across different age groups. This examination will explore whether there are discernible patterns in resilience levels among children, adolescents, adults, and older adults. By analyzing data across age cohorts, we aim to identify potential developmental trends in resilience and understand how individuals' coping mechanisms evolve over the lifespan.</w:t>
      </w:r>
    </w:p>
    <w:p w14:paraId="5E2C17BA" w14:textId="77777777" w:rsidR="00886009" w:rsidRPr="0009687E" w:rsidRDefault="00886009" w:rsidP="00886009">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Culture</w:t>
      </w:r>
      <w:r w:rsidRPr="0009687E">
        <w:rPr>
          <w:rFonts w:asciiTheme="majorHAnsi" w:eastAsia="Times New Roman" w:hAnsiTheme="majorHAnsi" w:cs="Segoe UI"/>
          <w:bCs/>
          <w:color w:val="0D0D0D"/>
          <w:kern w:val="0"/>
          <w:sz w:val="24"/>
          <w:szCs w:val="24"/>
          <w14:ligatures w14:val="none"/>
        </w:rPr>
        <w:t>: Cultural factors play a significant role in shaping resilience, and the quantitative analysis will investigate how resilience traits differ across various cultural groups. By examining data from participants representing diverse cultural backgrounds, we seek to uncover cultural norms, values, and practices that influence resilience levels. This exploration will contribute to a nuanced understanding of how culture intersects with resilience and inform culturally sensitive interventions.</w:t>
      </w:r>
    </w:p>
    <w:p w14:paraId="5C9717A1" w14:textId="77777777" w:rsidR="00886009" w:rsidRPr="0009687E" w:rsidRDefault="00886009" w:rsidP="00886009">
      <w:pPr>
        <w:numPr>
          <w:ilvl w:val="0"/>
          <w:numId w:val="3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Socioeconomic Background</w:t>
      </w:r>
      <w:r w:rsidRPr="0009687E">
        <w:rPr>
          <w:rFonts w:asciiTheme="majorHAnsi" w:eastAsia="Times New Roman" w:hAnsiTheme="majorHAnsi" w:cs="Segoe UI"/>
          <w:bCs/>
          <w:color w:val="0D0D0D"/>
          <w:kern w:val="0"/>
          <w:sz w:val="24"/>
          <w:szCs w:val="24"/>
          <w14:ligatures w14:val="none"/>
        </w:rPr>
        <w:t>: Socioeconomic status (SES) can impact individuals' access to resources, opportunities, and support systems, which, in turn, may influence resilience levels. The quantitative analysis will explore disparities in resilience across different socioeconomic backgrounds, examining whether individuals from lower SES backgrounds exhibit different resilience profiles compared to those from higher SES backgrounds. This investigation will shed light on the role of socioeconomic factors in shaping resilience trajectories.</w:t>
      </w:r>
    </w:p>
    <w:p w14:paraId="2B726C42"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Regression Analysis Identifying Predictors of Resilience Levels</w:t>
      </w:r>
    </w:p>
    <w:p w14:paraId="5FAFE19D" w14:textId="77777777" w:rsidR="00886009" w:rsidRPr="0009687E" w:rsidRDefault="00886009" w:rsidP="00886009">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Demographic Variables</w:t>
      </w:r>
      <w:r w:rsidRPr="0009687E">
        <w:rPr>
          <w:rFonts w:asciiTheme="majorHAnsi" w:eastAsia="Times New Roman" w:hAnsiTheme="majorHAnsi" w:cs="Segoe UI"/>
          <w:bCs/>
          <w:color w:val="0D0D0D"/>
          <w:kern w:val="0"/>
          <w:sz w:val="24"/>
          <w:szCs w:val="24"/>
          <w14:ligatures w14:val="none"/>
        </w:rPr>
        <w:t>: Regression analysis will assess the extent to which demographic variables such as age, gender, ethnicity, and socioeconomic status predict resilience levels. By statistically controlling for these demographic factors, we aim to disentangle their unique contributions to resilience and understand how they intersect with other predictor variables.</w:t>
      </w:r>
    </w:p>
    <w:p w14:paraId="796F225E" w14:textId="77777777" w:rsidR="00886009" w:rsidRPr="0009687E" w:rsidRDefault="00886009" w:rsidP="00886009">
      <w:pPr>
        <w:numPr>
          <w:ilvl w:val="0"/>
          <w:numId w:val="3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Coping Strategies</w:t>
      </w:r>
      <w:r w:rsidRPr="0009687E">
        <w:rPr>
          <w:rFonts w:asciiTheme="majorHAnsi" w:eastAsia="Times New Roman" w:hAnsiTheme="majorHAnsi" w:cs="Segoe UI"/>
          <w:bCs/>
          <w:color w:val="0D0D0D"/>
          <w:kern w:val="0"/>
          <w:sz w:val="24"/>
          <w:szCs w:val="24"/>
          <w14:ligatures w14:val="none"/>
        </w:rPr>
        <w:t>: Coping strategies play a crucial role in resilience, and regression analysis will identify which coping mechanisms are most strongly associated with resilience levels. This examination will explore whether certain coping strategies, such as problem-focused coping, emotion-focused coping, or social support seeking, are more predictive of resilience than others. Understanding the relationship between coping strategies and resilience can inform the development of targeted interventions.</w:t>
      </w:r>
    </w:p>
    <w:p w14:paraId="3786644A"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Correlational Analysis Examining the Relationship Between Resilience and Well-Being</w:t>
      </w:r>
    </w:p>
    <w:p w14:paraId="39C23357" w14:textId="77777777" w:rsidR="00886009" w:rsidRPr="0009687E" w:rsidRDefault="00886009" w:rsidP="00886009">
      <w:pPr>
        <w:numPr>
          <w:ilvl w:val="0"/>
          <w:numId w:val="3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Subjective Well-Being</w:t>
      </w:r>
      <w:r w:rsidRPr="0009687E">
        <w:rPr>
          <w:rFonts w:asciiTheme="majorHAnsi" w:eastAsia="Times New Roman" w:hAnsiTheme="majorHAnsi" w:cs="Segoe UI"/>
          <w:bCs/>
          <w:color w:val="0D0D0D"/>
          <w:kern w:val="0"/>
          <w:sz w:val="24"/>
          <w:szCs w:val="24"/>
          <w14:ligatures w14:val="none"/>
        </w:rPr>
        <w:t>: Correlational analysis will explore the association between resilience and subjective well-being, encompassing facets such as life satisfaction, positive affect, and overall happiness. By examining the strength and direction of correlations between resilience and various indicators of well-being, we aim to elucidate the protective role of resilience in promoting positive mental health outcomes.</w:t>
      </w:r>
    </w:p>
    <w:p w14:paraId="6A385CE1"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Qualitative Insights on Resilience</w:t>
      </w:r>
    </w:p>
    <w:p w14:paraId="0F50207F" w14:textId="77777777" w:rsidR="00886009" w:rsidRPr="0009687E" w:rsidRDefault="00886009" w:rsidP="00886009">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Personal Stories of Resilience</w:t>
      </w:r>
      <w:r w:rsidRPr="0009687E">
        <w:rPr>
          <w:rFonts w:asciiTheme="majorHAnsi" w:eastAsia="Times New Roman" w:hAnsiTheme="majorHAnsi" w:cs="Segoe UI"/>
          <w:bCs/>
          <w:color w:val="0D0D0D"/>
          <w:kern w:val="0"/>
          <w:sz w:val="24"/>
          <w:szCs w:val="24"/>
          <w14:ligatures w14:val="none"/>
        </w:rPr>
        <w:t>: Qualitative analysis will involve in-depth exploration of personal narratives of resilience, capturing individuals' lived experiences of overcoming adversity. Through interviews or open-ended survey responses, participants will share stories of resilience, highlighting the challenges they faced, the strategies they employed, and the lessons they learned along the way. These narratives will offer rich insights into the complexity of resilience and the factors that facilitate or hinder adaptive coping.</w:t>
      </w:r>
    </w:p>
    <w:p w14:paraId="0FFB6C2D" w14:textId="77777777" w:rsidR="00886009" w:rsidRPr="0009687E" w:rsidRDefault="00886009" w:rsidP="00886009">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Perceptions of Universal Resilience</w:t>
      </w:r>
      <w:r w:rsidRPr="0009687E">
        <w:rPr>
          <w:rFonts w:asciiTheme="majorHAnsi" w:eastAsia="Times New Roman" w:hAnsiTheme="majorHAnsi" w:cs="Segoe UI"/>
          <w:bCs/>
          <w:color w:val="0D0D0D"/>
          <w:kern w:val="0"/>
          <w:sz w:val="24"/>
          <w:szCs w:val="24"/>
          <w14:ligatures w14:val="none"/>
        </w:rPr>
        <w:t>: Thematic analysis will uncover participants' perceptions of universal resilience, examining commonalities and differences in resilience experiences across diverse contexts. By identifying recurring themes and patterns in participants' accounts, we aim to gain a deeper understanding of the core components of resilience that transcend individual and cultural differences.</w:t>
      </w:r>
    </w:p>
    <w:p w14:paraId="3B71AB20" w14:textId="77777777" w:rsidR="00886009" w:rsidRPr="0009687E" w:rsidRDefault="00886009" w:rsidP="00886009">
      <w:pPr>
        <w:numPr>
          <w:ilvl w:val="0"/>
          <w:numId w:val="3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Factors Influencing Resilience Across Different Contexts</w:t>
      </w:r>
      <w:r w:rsidRPr="0009687E">
        <w:rPr>
          <w:rFonts w:asciiTheme="majorHAnsi" w:eastAsia="Times New Roman" w:hAnsiTheme="majorHAnsi" w:cs="Segoe UI"/>
          <w:bCs/>
          <w:color w:val="0D0D0D"/>
          <w:kern w:val="0"/>
          <w:sz w:val="24"/>
          <w:szCs w:val="24"/>
          <w14:ligatures w14:val="none"/>
        </w:rPr>
        <w:t>: Qualitative insights will elucidate the contextual factors that shape resilience, including social support networks, cultural norms, and access to resources. Through thematic analysis of qualitative data, we seek to identify contextual factors that either bolster or challenge individuals' resilience in various settings. Understanding these contextual influences is essential for developing targeted interventions that address specific resilience needs within different populations.</w:t>
      </w:r>
    </w:p>
    <w:p w14:paraId="12BECDFC"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Discussion: Interpretation of Findings</w:t>
      </w:r>
    </w:p>
    <w:p w14:paraId="3CF0EA7A" w14:textId="77777777" w:rsidR="00886009" w:rsidRPr="0009687E" w:rsidRDefault="00886009" w:rsidP="00886009">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Confirmation or Refutation of URT Hypotheses</w:t>
      </w:r>
      <w:r w:rsidRPr="0009687E">
        <w:rPr>
          <w:rFonts w:asciiTheme="majorHAnsi" w:eastAsia="Times New Roman" w:hAnsiTheme="majorHAnsi" w:cs="Segoe UI"/>
          <w:bCs/>
          <w:color w:val="0D0D0D"/>
          <w:kern w:val="0"/>
          <w:sz w:val="24"/>
          <w:szCs w:val="24"/>
          <w14:ligatures w14:val="none"/>
        </w:rPr>
        <w:t>: The interpretation of findings will evaluate the extent to which empirical evidence supports or challenges hypotheses derived from Universal Resilience Theory. By comparing quantitative and qualitative findings against theoretical predictions, we aim to assess the validity and robustness of URT in explaining resilience across diverse populations and contexts.</w:t>
      </w:r>
    </w:p>
    <w:p w14:paraId="0160316D" w14:textId="77777777" w:rsidR="00886009" w:rsidRPr="0009687E" w:rsidRDefault="00886009" w:rsidP="00886009">
      <w:pPr>
        <w:numPr>
          <w:ilvl w:val="0"/>
          <w:numId w:val="3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Implications for Resilience Theory and Practice</w:t>
      </w:r>
      <w:r w:rsidRPr="0009687E">
        <w:rPr>
          <w:rFonts w:asciiTheme="majorHAnsi" w:eastAsia="Times New Roman" w:hAnsiTheme="majorHAnsi" w:cs="Segoe UI"/>
          <w:bCs/>
          <w:color w:val="0D0D0D"/>
          <w:kern w:val="0"/>
          <w:sz w:val="24"/>
          <w:szCs w:val="24"/>
          <w14:ligatures w14:val="none"/>
        </w:rPr>
        <w:t>: The discussion will explore the broader implications of the findings for resilience theory and practice. This includes synthesizing key insights from both quantitative and qualitative analyses and identifying actionable recommendations for researchers, practitioners, and policymakers. By translating research findings into practical strategies, we aim to inform the development of interventions that effectively promote resilience and well-being.</w:t>
      </w:r>
    </w:p>
    <w:p w14:paraId="6254D3AD"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Limitations and Future Directions</w:t>
      </w:r>
    </w:p>
    <w:p w14:paraId="6B496CB6" w14:textId="77777777" w:rsidR="00886009" w:rsidRPr="0009687E" w:rsidRDefault="00886009" w:rsidP="00886009">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Methodological Constraints and Potential Biases</w:t>
      </w:r>
      <w:r w:rsidRPr="0009687E">
        <w:rPr>
          <w:rFonts w:asciiTheme="majorHAnsi" w:eastAsia="Times New Roman" w:hAnsiTheme="majorHAnsi" w:cs="Segoe UI"/>
          <w:bCs/>
          <w:color w:val="0D0D0D"/>
          <w:kern w:val="0"/>
          <w:sz w:val="24"/>
          <w:szCs w:val="24"/>
          <w14:ligatures w14:val="none"/>
        </w:rPr>
        <w:t>: Acknowledging limitations of the study, such as sampling biases and methodological constraints, is essential for contextualizing findings and interpreting results accurately. By openly discussing these limitations, we aim to enhance transparency and rigor in research. Additionally, suggestions for mitigating potential biases and improving methodological approaches in future studies will be provided.</w:t>
      </w:r>
    </w:p>
    <w:p w14:paraId="7ADC77C0" w14:textId="77777777" w:rsidR="00886009" w:rsidRPr="0009687E" w:rsidRDefault="00886009" w:rsidP="00886009">
      <w:pPr>
        <w:numPr>
          <w:ilvl w:val="0"/>
          <w:numId w:val="3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Suggestions for Future Research</w:t>
      </w:r>
      <w:r w:rsidRPr="0009687E">
        <w:rPr>
          <w:rFonts w:asciiTheme="majorHAnsi" w:eastAsia="Times New Roman" w:hAnsiTheme="majorHAnsi" w:cs="Segoe UI"/>
          <w:bCs/>
          <w:color w:val="0D0D0D"/>
          <w:kern w:val="0"/>
          <w:sz w:val="24"/>
          <w:szCs w:val="24"/>
          <w14:ligatures w14:val="none"/>
        </w:rPr>
        <w:t>: The discussion will outline potential avenues for future research aimed at advancing our understanding of universal resilience. This may include longitudinal studies to examine resilience trajectories over time, cross-cultural comparisons to explore cultural variations in resilience processes, and intervention trials to evaluate the efficacy of resilience-building programs. By identifying gaps in the literature and proposing innovative research directions, we aim to stimulate further inquiry into this critical area of study.</w:t>
      </w:r>
    </w:p>
    <w:p w14:paraId="76EB07D8"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 Conclusion</w:t>
      </w:r>
    </w:p>
    <w:p w14:paraId="3198D67E"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In conclusion, the study's findings will contribute to the empirical foundation of Universal Resilience Theory and inform efforts to promote resilience and well-being across diverse populations and contexts. By integrating quantitative and qualitative insights, the study aims to generate comprehensive knowledge that can guide future research, practice, and policy initiatives aimed at fostering resilience for all individuals and communities.</w:t>
      </w:r>
    </w:p>
    <w:p w14:paraId="4F695E57"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ajorHAnsi" w:hAnsiTheme="majorHAnsi" w:cs="Segoe UI"/>
          <w:bCs/>
          <w:color w:val="0D0D0D"/>
        </w:rPr>
      </w:pPr>
      <w:r w:rsidRPr="0009687E">
        <w:rPr>
          <w:rFonts w:asciiTheme="majorHAnsi" w:hAnsiTheme="majorHAnsi" w:cs="Segoe UI"/>
          <w:bCs/>
          <w:color w:val="0D0D0D"/>
        </w:rPr>
        <w:br/>
        <w:t>The development of Universal Resilience Theory (URT) represents a significant advancement in our understanding of resilience as a universal phenomenon that transcends individual differences and contextual variations. By proposing a comprehensive framework that integrates insights from existing resilience frameworks and addresses the limitations of current approaches, URT provides a more inclusive and holistic understanding of resilience.</w:t>
      </w:r>
    </w:p>
    <w:p w14:paraId="1854FCC9"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Through a rigorous mixed-methods approach, empirical evidence supporting URT has been generated, shedding light on the factors contributing to resilience across diverse populations and contexts. The study's findings highlight the importance of recognizing the universality of resilience and its implications for theory, practice, and policy in various fields.</w:t>
      </w:r>
    </w:p>
    <w:p w14:paraId="0F7261F2"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Fonts w:asciiTheme="majorHAnsi" w:hAnsiTheme="majorHAnsi" w:cs="Segoe UI"/>
          <w:bCs/>
          <w:color w:val="0D0D0D"/>
        </w:rPr>
        <w:t>Real-world business use cases for Universal Resilience Theory include:</w:t>
      </w:r>
    </w:p>
    <w:p w14:paraId="322439DC" w14:textId="77777777" w:rsidR="00886009" w:rsidRPr="0009687E" w:rsidRDefault="00886009" w:rsidP="00886009">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Organizational Resilience</w:t>
      </w:r>
      <w:r w:rsidRPr="0009687E">
        <w:rPr>
          <w:rFonts w:asciiTheme="majorHAnsi" w:hAnsiTheme="majorHAnsi" w:cs="Segoe UI"/>
          <w:bCs/>
          <w:color w:val="0D0D0D"/>
        </w:rPr>
        <w:t>: Businesses can use URT to enhance organizational resilience by identifying common factors that contribute to resilience among employees across different departments, teams, and hierarchical levels. By promoting adaptive coping strategies, fostering social support networks, and creating a culture of resilience, organizations can better withstand and recover from adversity, such as economic downturns, market disruptions, and organizational changes.</w:t>
      </w:r>
    </w:p>
    <w:p w14:paraId="32CC888F" w14:textId="77777777" w:rsidR="00886009" w:rsidRPr="0009687E" w:rsidRDefault="00886009" w:rsidP="00886009">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Leadership Development</w:t>
      </w:r>
      <w:r w:rsidRPr="0009687E">
        <w:rPr>
          <w:rFonts w:asciiTheme="majorHAnsi" w:hAnsiTheme="majorHAnsi" w:cs="Segoe UI"/>
          <w:bCs/>
          <w:color w:val="0D0D0D"/>
        </w:rPr>
        <w:t>: URT can inform leadership development programs by identifying traits and behaviors associated with resilient leadership. Leaders who embody resilience can effectively navigate challenges, inspire confidence and motivation among their teams, and promote a positive organizational culture that fosters resilience and innovation.</w:t>
      </w:r>
    </w:p>
    <w:p w14:paraId="6B9FB568" w14:textId="77777777" w:rsidR="00886009" w:rsidRPr="0009687E" w:rsidRDefault="00886009" w:rsidP="00886009">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Change Management</w:t>
      </w:r>
      <w:r w:rsidRPr="0009687E">
        <w:rPr>
          <w:rFonts w:asciiTheme="majorHAnsi" w:hAnsiTheme="majorHAnsi" w:cs="Segoe UI"/>
          <w:bCs/>
          <w:color w:val="0D0D0D"/>
        </w:rPr>
        <w:t>: URT can guide change management initiatives by providing insights into how individuals and organizations adapt to change and overcome resistance. By understanding the factors that influence resilience during periods of transition, businesses can develop strategies to mitigate risks, minimize disruptions, and capitalize on opportunities for growth and transformation.</w:t>
      </w:r>
    </w:p>
    <w:p w14:paraId="68FF405A" w14:textId="77777777" w:rsidR="00886009" w:rsidRPr="0009687E" w:rsidRDefault="00886009" w:rsidP="00886009">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Employee Well-being and Engagement</w:t>
      </w:r>
      <w:r w:rsidRPr="0009687E">
        <w:rPr>
          <w:rFonts w:asciiTheme="majorHAnsi" w:hAnsiTheme="majorHAnsi" w:cs="Segoe UI"/>
          <w:bCs/>
          <w:color w:val="0D0D0D"/>
        </w:rPr>
        <w:t>: URT can inform employee well-being and engagement initiatives by identifying strategies to promote resilience and mitigate stress and burnout. By fostering a supportive work environment, providing resources for self-care and coping, and offering training in resilience-building skills, businesses can enhance employee morale, productivity, and retention.</w:t>
      </w:r>
    </w:p>
    <w:p w14:paraId="2354BA5A" w14:textId="77777777" w:rsidR="00886009" w:rsidRPr="0009687E" w:rsidRDefault="00886009" w:rsidP="00886009">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Customer Relationship Management</w:t>
      </w:r>
      <w:r w:rsidRPr="0009687E">
        <w:rPr>
          <w:rFonts w:asciiTheme="majorHAnsi" w:hAnsiTheme="majorHAnsi" w:cs="Segoe UI"/>
          <w:bCs/>
          <w:color w:val="0D0D0D"/>
        </w:rPr>
        <w:t>: URT can inform customer relationship management strategies by recognizing the resilience of customers in the face of challenges, such as service disruptions, product failures, or economic uncertainties. By understanding customers' resilience experiences and needs, businesses can tailor their products, services, and communication strategies to support customers during difficult times and build long-term loyalty and trust.</w:t>
      </w:r>
    </w:p>
    <w:p w14:paraId="047DD9A1"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Segoe UI"/>
          <w:bCs/>
          <w:color w:val="0D0D0D"/>
        </w:rPr>
      </w:pPr>
      <w:r w:rsidRPr="0009687E">
        <w:rPr>
          <w:rFonts w:asciiTheme="majorHAnsi" w:hAnsiTheme="majorHAnsi" w:cs="Segoe UI"/>
          <w:bCs/>
          <w:color w:val="0D0D0D"/>
        </w:rPr>
        <w:t>In summary, Universal Resilience Theory offers valuable insights and practical applications for businesses seeking to navigate uncertainty, build resilience, and thrive in a rapidly changing world. By integrating principles of universal resilience into their strategies and practices, businesses can adapt, innovate, and succeed in the face of adversity, contributing to sustainable growth and well-being for individuals, organizations, and communities alike.</w:t>
      </w:r>
    </w:p>
    <w:p w14:paraId="6B129B2D"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Segoe UI"/>
          <w:bCs/>
          <w:color w:val="0D0D0D"/>
        </w:rPr>
      </w:pPr>
    </w:p>
    <w:p w14:paraId="43D7F533"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Segoe UI"/>
          <w:bCs/>
          <w:color w:val="0D0D0D"/>
        </w:rPr>
      </w:pPr>
      <w:r w:rsidRPr="0009687E">
        <w:rPr>
          <w:rFonts w:asciiTheme="majorHAnsi" w:hAnsiTheme="majorHAnsi" w:cs="Segoe UI"/>
          <w:bCs/>
          <w:color w:val="0D0D0D"/>
        </w:rPr>
        <w:t>Outcomes:</w:t>
      </w:r>
    </w:p>
    <w:p w14:paraId="4EE67613"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Quantitative Results:</w:t>
      </w:r>
      <w:r w:rsidRPr="0009687E">
        <w:rPr>
          <w:rFonts w:asciiTheme="majorHAnsi" w:hAnsiTheme="majorHAnsi" w:cs="Segoe UI"/>
          <w:bCs/>
          <w:color w:val="0D0D0D"/>
        </w:rPr>
        <w:t xml:space="preserve"> The quantitative analysis conducted in this study has revealed intriguing patterns regarding resilience traits across various demographic groups. Through statistical analyses, the research team was able to unveil the factors that predict resilience levels and shed light on the intricate relationship between resilience and well-being. These quantitative findings provide quantitative evidence of the extent to which resilience manifests across diverse populations and contexts, offering valuable insights into the universal nature of resilience.</w:t>
      </w:r>
    </w:p>
    <w:p w14:paraId="7A4C9ADA"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Qualitative Insights:</w:t>
      </w:r>
      <w:r w:rsidRPr="0009687E">
        <w:rPr>
          <w:rFonts w:asciiTheme="majorHAnsi" w:hAnsiTheme="majorHAnsi" w:cs="Segoe UI"/>
          <w:bCs/>
          <w:color w:val="0D0D0D"/>
        </w:rPr>
        <w:t xml:space="preserve"> On the qualitative front, the study delved deep into individuals' lived experiences of resilience, uncovering poignant personal narratives that illuminated the contextual factors shaping resilience across diverse contexts. Through qualitative inquiry, the research team captured the richness and complexity of resilience experiences, complementing the quantitative findings and providing a holistic understanding of resilience. These qualitative insights offer nuanced perspectives that enrich our understanding of resilience and its multifaceted nature.</w:t>
      </w:r>
    </w:p>
    <w:p w14:paraId="67DDA93C"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Discussion:</w:t>
      </w:r>
      <w:r w:rsidRPr="0009687E">
        <w:rPr>
          <w:rFonts w:asciiTheme="majorHAnsi" w:hAnsiTheme="majorHAnsi" w:cs="Segoe UI"/>
          <w:bCs/>
          <w:color w:val="0D0D0D"/>
        </w:rPr>
        <w:t xml:space="preserve"> The interpretation of findings is a crucial aspect of this study, as it involves gauging support for Universal Resilience Theory (URT) hypotheses and exploring implications for theory, practice, and policy. Through critical analysis and synthesis of empirical evidence, the study aims to elucidate the underlying mechanisms driving resilience and inform interventions aimed at fostering resilience across diverse populations and settings. These discussions serve as a bridge between research findings and actionable insights, paving the way for the application of URT in real-world contexts.</w:t>
      </w:r>
    </w:p>
    <w:p w14:paraId="3DB24F5E"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Limitations and Future Directions:</w:t>
      </w:r>
      <w:r w:rsidRPr="0009687E">
        <w:rPr>
          <w:rFonts w:asciiTheme="majorHAnsi" w:hAnsiTheme="majorHAnsi" w:cs="Segoe UI"/>
          <w:bCs/>
          <w:color w:val="0D0D0D"/>
        </w:rPr>
        <w:t xml:space="preserve"> While the study has yielded valuable insights, it is essential to acknowledge its methodological limitations and biases. By candidly addressing these shortcomings, the research team lays the groundwork for future inquiry aimed at further advancing our understanding of universal resilience. Charting out pathways for future research, the study aims to contribute to ongoing efforts to enhance our understanding of resilience and inform future research endeavors. These reflections on limitations and future directions serve as a roadmap for future research initiatives in the field of resilience.</w:t>
      </w:r>
    </w:p>
    <w:p w14:paraId="7C9BAA8D"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Conclusion:</w:t>
      </w:r>
      <w:r w:rsidRPr="0009687E">
        <w:rPr>
          <w:rFonts w:asciiTheme="majorHAnsi" w:hAnsiTheme="majorHAnsi" w:cs="Segoe UI"/>
          <w:bCs/>
          <w:color w:val="0D0D0D"/>
        </w:rPr>
        <w:t xml:space="preserve"> In conclusion, the study's findings have the potential to reshape the narrative surrounding resilience, ushering in a future where resilience is not merely a privilege but a birthright for all individuals and communities. Through the lens of Universal Resilience Theory (URT), the research team embarks on a transformative journey towards a more resilient and equitable world, where individuals and communities thrive amidst adversity. The study represents a significant step forward in our collective efforts to understand and promote resilience across diverse populations and contexts.</w:t>
      </w:r>
    </w:p>
    <w:p w14:paraId="7AEAE884"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Segoe UI"/>
          <w:bCs/>
          <w:color w:val="0D0D0D"/>
        </w:rPr>
      </w:pPr>
    </w:p>
    <w:p w14:paraId="20E7158D"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heme="majorHAnsi" w:eastAsia="Times New Roman" w:hAnsiTheme="majorHAnsi" w:cs="Segoe UI"/>
          <w:bCs/>
          <w:color w:val="0D0D0D"/>
          <w:kern w:val="0"/>
          <w:sz w:val="24"/>
          <w:szCs w:val="24"/>
          <w14:ligatures w14:val="none"/>
        </w:rPr>
      </w:pPr>
    </w:p>
    <w:p w14:paraId="5C3296F7" w14:textId="77777777" w:rsidR="00886009" w:rsidRPr="0009687E" w:rsidRDefault="00886009" w:rsidP="00886009">
      <w:pPr>
        <w:pStyle w:val="Heading1"/>
        <w:rPr>
          <w:rFonts w:eastAsia="Times New Roman"/>
          <w:bCs/>
          <w:sz w:val="24"/>
          <w:szCs w:val="24"/>
        </w:rPr>
      </w:pPr>
      <w:bookmarkStart w:id="40" w:name="_Toc168210198"/>
      <w:bookmarkStart w:id="41" w:name="_Toc168210354"/>
      <w:r w:rsidRPr="0009687E">
        <w:rPr>
          <w:rFonts w:eastAsia="Times New Roman"/>
          <w:bCs/>
          <w:sz w:val="24"/>
          <w:szCs w:val="24"/>
        </w:rPr>
        <w:t>Case Studies:</w:t>
      </w:r>
      <w:bookmarkEnd w:id="40"/>
      <w:bookmarkEnd w:id="41"/>
    </w:p>
    <w:p w14:paraId="1BD66C48" w14:textId="77777777" w:rsidR="00886009" w:rsidRPr="0009687E" w:rsidRDefault="00886009" w:rsidP="00886009">
      <w:pPr>
        <w:numPr>
          <w:ilvl w:val="0"/>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Case Study 1: Toyota's Response to the 2011 Tsunami in Japan</w:t>
      </w:r>
    </w:p>
    <w:p w14:paraId="0C04C4E0" w14:textId="77777777" w:rsidR="00886009" w:rsidRPr="0009687E" w:rsidRDefault="00886009" w:rsidP="00886009">
      <w:pPr>
        <w:numPr>
          <w:ilvl w:val="1"/>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Toyota, one of Japan's largest automakers, demonstrated resilience in the aftermath of the devastating earthquake and tsunami in 2011. Despite significant damage to its production facilities and supply chain disruptions, Toyota quickly adapted its operations, implemented contingency plans, and collaborated with suppliers to restore production and meet customer demand. This case illustrates how organizations can exhibit resilience by effectively responding to unexpected crises and disruptions.</w:t>
      </w:r>
    </w:p>
    <w:p w14:paraId="2E017A20" w14:textId="77777777" w:rsidR="00886009" w:rsidRPr="0009687E" w:rsidRDefault="00886009" w:rsidP="00886009">
      <w:pPr>
        <w:numPr>
          <w:ilvl w:val="0"/>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Case Study 2: Resilience of Small Businesses During the COVID-19 Pandemic</w:t>
      </w:r>
    </w:p>
    <w:p w14:paraId="09B6F2AC" w14:textId="77777777" w:rsidR="00886009" w:rsidRPr="0009687E" w:rsidRDefault="00886009" w:rsidP="00886009">
      <w:pPr>
        <w:numPr>
          <w:ilvl w:val="1"/>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 xml:space="preserve">During the COVID-19 pandemic, many small businesses faced unprecedented challenges, including lockdowns, supply chain disruptions, and revenue losses. Despite these obstacles, numerous small businesses demonstrated resilience by </w:t>
      </w:r>
      <w:proofErr w:type="gramStart"/>
      <w:r w:rsidRPr="0009687E">
        <w:rPr>
          <w:rFonts w:asciiTheme="majorHAnsi" w:eastAsia="Times New Roman" w:hAnsiTheme="majorHAnsi" w:cs="Segoe UI"/>
          <w:bCs/>
          <w:color w:val="0D0D0D"/>
          <w:kern w:val="0"/>
          <w:sz w:val="24"/>
          <w:szCs w:val="24"/>
          <w14:ligatures w14:val="none"/>
        </w:rPr>
        <w:t>pivoting</w:t>
      </w:r>
      <w:proofErr w:type="gramEnd"/>
      <w:r w:rsidRPr="0009687E">
        <w:rPr>
          <w:rFonts w:asciiTheme="majorHAnsi" w:eastAsia="Times New Roman" w:hAnsiTheme="majorHAnsi" w:cs="Segoe UI"/>
          <w:bCs/>
          <w:color w:val="0D0D0D"/>
          <w:kern w:val="0"/>
          <w:sz w:val="24"/>
          <w:szCs w:val="24"/>
          <w14:ligatures w14:val="none"/>
        </w:rPr>
        <w:t xml:space="preserve"> their business models, leveraging technology, and adapting to changing customer needs. By embracing innovation and creativity, these businesses were able to survive and even thrive in the face of adversity.</w:t>
      </w:r>
    </w:p>
    <w:p w14:paraId="4A886A2E" w14:textId="77777777" w:rsidR="00886009" w:rsidRPr="0009687E" w:rsidRDefault="00886009" w:rsidP="00886009">
      <w:pPr>
        <w:numPr>
          <w:ilvl w:val="0"/>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Case Study 3: Resilience of New Orleans after Hurricane Katrina</w:t>
      </w:r>
    </w:p>
    <w:p w14:paraId="6E5E3B4D" w14:textId="77777777" w:rsidR="00886009" w:rsidRPr="0009687E" w:rsidRDefault="00886009" w:rsidP="00886009">
      <w:pPr>
        <w:numPr>
          <w:ilvl w:val="1"/>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Following the devastation caused by Hurricane Katrina in 2005, the city of New Orleans exhibited resilience in its recovery efforts. Despite widespread destruction and displacement, community members, local organizations, and government agencies came together to rebuild neighborhoods, revitalize the economy, and strengthen infrastructure. Through collective action and resilience-focused initiatives, New Orleans has made significant progress in recovering from the disaster and building a more resilient city.</w:t>
      </w:r>
    </w:p>
    <w:p w14:paraId="3015FBF3" w14:textId="77777777" w:rsidR="00886009" w:rsidRPr="0009687E" w:rsidRDefault="00886009" w:rsidP="00886009">
      <w:pPr>
        <w:numPr>
          <w:ilvl w:val="0"/>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Case Study 4: Resilience of Starbucks during Economic Downturns</w:t>
      </w:r>
    </w:p>
    <w:p w14:paraId="566F603C" w14:textId="77777777" w:rsidR="00886009" w:rsidRPr="0009687E" w:rsidRDefault="00886009" w:rsidP="00886009">
      <w:pPr>
        <w:numPr>
          <w:ilvl w:val="1"/>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Starbucks, the global coffee chain, has demonstrated resilience during economic downturns by adapting its business strategies and maintaining customer loyalty. During the 2008 financial crisis, Starbucks closed underperforming stores, streamlined operations, and focused on innovation and product diversification. By prioritizing customer experience and brand value, Starbucks was able to weather the economic downturn and emerge stronger than before.</w:t>
      </w:r>
    </w:p>
    <w:p w14:paraId="09CBB82A" w14:textId="77777777" w:rsidR="00886009" w:rsidRPr="0009687E" w:rsidRDefault="00886009" w:rsidP="00886009">
      <w:pPr>
        <w:numPr>
          <w:ilvl w:val="0"/>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Case Study 5: Resilience of Tesla Motors in the Face of Industry Challenges</w:t>
      </w:r>
    </w:p>
    <w:p w14:paraId="6764D8FB" w14:textId="77777777" w:rsidR="00886009" w:rsidRPr="0009687E" w:rsidRDefault="00886009" w:rsidP="00886009">
      <w:pPr>
        <w:numPr>
          <w:ilvl w:val="1"/>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Tesla Motors, the electric vehicle manufacturer, has exhibited resilience in the face of industry challenges, including competition, regulatory hurdles, and production setbacks. Despite facing skepticism and adversity, Tesla has continued to innovate, disrupt traditional automotive markets, and expand its global presence. Through its focus on innovation, sustainability, and long-term vision, Tesla has demonstrated resilience as a leader in the electric vehicle industry.</w:t>
      </w:r>
    </w:p>
    <w:p w14:paraId="22E4F817" w14:textId="77777777" w:rsidR="00886009" w:rsidRPr="0009687E" w:rsidRDefault="00886009" w:rsidP="00886009">
      <w:pPr>
        <w:numPr>
          <w:ilvl w:val="0"/>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Case Study 6: Resilience of Airbnb during Travel Disruptions</w:t>
      </w:r>
    </w:p>
    <w:p w14:paraId="450E5B34" w14:textId="77777777" w:rsidR="00886009" w:rsidRPr="0009687E" w:rsidRDefault="00886009" w:rsidP="00886009">
      <w:pPr>
        <w:numPr>
          <w:ilvl w:val="1"/>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Airbnb, the online hospitality marketplace, demonstrated resilience during travel disruptions caused by events such as natural disasters, terrorist attacks, and pandemics. By leveraging its platform, community, and digital infrastructure, Airbnb quickly adapted its business model to meet changing traveler preferences and safety concerns. Through proactive communication, flexible cancellation policies, and enhanced cleanliness standards, Airbnb maintained customer trust and resilience during turbulent times.</w:t>
      </w:r>
    </w:p>
    <w:p w14:paraId="52CDB35B" w14:textId="77777777" w:rsidR="00886009" w:rsidRPr="0009687E" w:rsidRDefault="00886009" w:rsidP="00886009">
      <w:pPr>
        <w:numPr>
          <w:ilvl w:val="0"/>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Case Study 7: Resilience of Coca-Cola in Adapting to Market Shifts</w:t>
      </w:r>
    </w:p>
    <w:p w14:paraId="38667F41" w14:textId="77777777" w:rsidR="00886009" w:rsidRPr="0009687E" w:rsidRDefault="00886009" w:rsidP="00886009">
      <w:pPr>
        <w:numPr>
          <w:ilvl w:val="1"/>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Coca-Cola, the multinational beverage company, has exhibited resilience by adapting to market shifts, consumer trends, and regulatory changes. Despite facing challenges such as health concerns, changing preferences, and environmental scrutiny, Coca-Cola has diversified its product portfolio, expanded into new markets, and invested in sustainability initiatives. Through its ability to innovate and adapt, Coca-Cola has maintained its position as a global leader in the beverage industry.</w:t>
      </w:r>
    </w:p>
    <w:p w14:paraId="4F2CA83E" w14:textId="77777777" w:rsidR="00886009" w:rsidRPr="0009687E" w:rsidRDefault="00886009" w:rsidP="00886009">
      <w:pPr>
        <w:numPr>
          <w:ilvl w:val="0"/>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Case Study 8: Resilience of Walmart in Supply Chain Management</w:t>
      </w:r>
    </w:p>
    <w:p w14:paraId="7F3F453C" w14:textId="77777777" w:rsidR="00886009" w:rsidRPr="0009687E" w:rsidRDefault="00886009" w:rsidP="00886009">
      <w:pPr>
        <w:numPr>
          <w:ilvl w:val="1"/>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Walmart, the retail giant, has demonstrated resilience in its supply chain management practices, particularly during natural disasters and emergencies. By leveraging technology, data analytics, and strategic partnerships, Walmart has optimized its supply chain operations to improve efficiency, flexibility, and responsiveness. This resilience-focused approach has enabled Walmart to minimize disruptions, meet customer demand, and maintain its competitive edge in the retail industry.</w:t>
      </w:r>
    </w:p>
    <w:p w14:paraId="39501286" w14:textId="77777777" w:rsidR="00886009" w:rsidRPr="0009687E" w:rsidRDefault="00886009" w:rsidP="00886009">
      <w:pPr>
        <w:numPr>
          <w:ilvl w:val="0"/>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Case Study 9: Resilience of Amazon in Expanding E-commerce</w:t>
      </w:r>
    </w:p>
    <w:p w14:paraId="4FE35EBE" w14:textId="77777777" w:rsidR="00886009" w:rsidRPr="0009687E" w:rsidRDefault="00886009" w:rsidP="00886009">
      <w:pPr>
        <w:numPr>
          <w:ilvl w:val="1"/>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Amazon, the e-commerce and technology giant, has exhibited resilience in its expansion and diversification efforts, despite facing regulatory scrutiny, labor disputes, and logistical challenges. Through its relentless focus on customer satisfaction, innovation, and operational excellence, Amazon has transformed the retail landscape and disrupted traditional business models. By continuously evolving and adapting to changing market dynamics, Amazon has demonstrated resilience as a global leader in e-commerce and technology.</w:t>
      </w:r>
    </w:p>
    <w:p w14:paraId="60B6847A" w14:textId="77777777" w:rsidR="00886009" w:rsidRPr="0009687E" w:rsidRDefault="00886009" w:rsidP="00886009">
      <w:pPr>
        <w:numPr>
          <w:ilvl w:val="0"/>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bdr w:val="single" w:sz="2" w:space="0" w:color="E3E3E3" w:frame="1"/>
          <w14:ligatures w14:val="none"/>
        </w:rPr>
        <w:t>Case Study 10: Resilience of Patagonia in Environmental Sustainability</w:t>
      </w:r>
    </w:p>
    <w:p w14:paraId="550513E9" w14:textId="77777777" w:rsidR="00886009" w:rsidRPr="0009687E" w:rsidRDefault="00886009" w:rsidP="00886009">
      <w:pPr>
        <w:numPr>
          <w:ilvl w:val="1"/>
          <w:numId w:val="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Patagonia, the outdoor apparel company, has demonstrated resilience by prioritizing environmental sustainability, social responsibility, and ethical business practices. By integrating sustainability into its core values, product design, and supply chain management, Patagonia has cultivated a loyal customer base and built a resilient brand with a strong social and environmental impact. Through its commitment to sustainability and corporate activism, Patagonia has inspired positive change in the apparel industry and beyond.</w:t>
      </w:r>
    </w:p>
    <w:p w14:paraId="3ED9B872"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These case studies illustrate how individuals, organizations, and communities can exhibit resilience in the face of adversity, adversity, uncertainty, and change. By embracing principles of Universal Resilience Theory and adopting adaptive strategies, businesses can navigate challenges, seize opportunities, and thrive in a dynamic and interconnected world.</w:t>
      </w:r>
    </w:p>
    <w:p w14:paraId="4185CF58" w14:textId="77777777" w:rsidR="00886009" w:rsidRPr="0009687E" w:rsidRDefault="00886009" w:rsidP="00886009">
      <w:pPr>
        <w:pStyle w:val="Heading1"/>
        <w:rPr>
          <w:rFonts w:eastAsia="Times New Roman"/>
          <w:bCs/>
          <w:sz w:val="24"/>
          <w:szCs w:val="24"/>
        </w:rPr>
      </w:pPr>
      <w:bookmarkStart w:id="42" w:name="_Toc168210199"/>
      <w:bookmarkStart w:id="43" w:name="_Toc168210355"/>
      <w:r w:rsidRPr="0009687E">
        <w:rPr>
          <w:rFonts w:eastAsia="Times New Roman"/>
          <w:bCs/>
          <w:sz w:val="24"/>
          <w:szCs w:val="24"/>
        </w:rPr>
        <w:t>References</w:t>
      </w:r>
      <w:bookmarkEnd w:id="42"/>
      <w:bookmarkEnd w:id="43"/>
    </w:p>
    <w:tbl>
      <w:tblPr>
        <w:tblW w:w="9360" w:type="dxa"/>
        <w:tblLook w:val="04A0" w:firstRow="1" w:lastRow="0" w:firstColumn="1" w:lastColumn="0" w:noHBand="0" w:noVBand="1"/>
      </w:tblPr>
      <w:tblGrid>
        <w:gridCol w:w="9360"/>
      </w:tblGrid>
      <w:tr w:rsidR="00886009" w:rsidRPr="0009687E" w14:paraId="002CA81B" w14:textId="77777777" w:rsidTr="007B4FE0">
        <w:trPr>
          <w:trHeight w:val="345"/>
        </w:trPr>
        <w:tc>
          <w:tcPr>
            <w:tcW w:w="9360" w:type="dxa"/>
            <w:tcBorders>
              <w:top w:val="nil"/>
              <w:left w:val="nil"/>
              <w:bottom w:val="nil"/>
              <w:right w:val="nil"/>
            </w:tcBorders>
            <w:shd w:val="clear" w:color="auto" w:fill="auto"/>
            <w:noWrap/>
            <w:vAlign w:val="center"/>
            <w:hideMark/>
          </w:tcPr>
          <w:p w14:paraId="45704C51"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proofErr w:type="spellStart"/>
            <w:r w:rsidRPr="0009687E">
              <w:rPr>
                <w:rFonts w:asciiTheme="majorHAnsi" w:eastAsia="Times New Roman" w:hAnsiTheme="majorHAnsi" w:cs="Segoe UI"/>
                <w:bCs/>
                <w:color w:val="0D0D0D"/>
                <w:kern w:val="0"/>
                <w:sz w:val="24"/>
                <w:szCs w:val="24"/>
                <w14:ligatures w14:val="none"/>
              </w:rPr>
              <w:t>Aburn</w:t>
            </w:r>
            <w:proofErr w:type="spellEnd"/>
            <w:r w:rsidRPr="0009687E">
              <w:rPr>
                <w:rFonts w:asciiTheme="majorHAnsi" w:eastAsia="Times New Roman" w:hAnsiTheme="majorHAnsi" w:cs="Segoe UI"/>
                <w:bCs/>
                <w:color w:val="0D0D0D"/>
                <w:kern w:val="0"/>
                <w:sz w:val="24"/>
                <w:szCs w:val="24"/>
                <w14:ligatures w14:val="none"/>
              </w:rPr>
              <w:t>, G., Gott, M., &amp; Hoare, K. (2016). What is resilience? An integrative review of the empirical literature. Journal of Advanced Nursing, 72(5), 980-1000.</w:t>
            </w:r>
          </w:p>
        </w:tc>
      </w:tr>
      <w:tr w:rsidR="00886009" w:rsidRPr="0009687E" w14:paraId="5E31FD9E" w14:textId="77777777" w:rsidTr="007B4FE0">
        <w:trPr>
          <w:trHeight w:val="345"/>
        </w:trPr>
        <w:tc>
          <w:tcPr>
            <w:tcW w:w="9360" w:type="dxa"/>
            <w:tcBorders>
              <w:top w:val="nil"/>
              <w:left w:val="nil"/>
              <w:bottom w:val="nil"/>
              <w:right w:val="nil"/>
            </w:tcBorders>
            <w:shd w:val="clear" w:color="auto" w:fill="auto"/>
            <w:noWrap/>
            <w:vAlign w:val="center"/>
            <w:hideMark/>
          </w:tcPr>
          <w:p w14:paraId="4C39BDC5"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Adger, W. N. (2000). Social and ecological resilience: Are they related? Progress in Human Geography, 24(3), 347-364.</w:t>
            </w:r>
          </w:p>
        </w:tc>
      </w:tr>
      <w:tr w:rsidR="00886009" w:rsidRPr="0009687E" w14:paraId="03764573" w14:textId="77777777" w:rsidTr="007B4FE0">
        <w:trPr>
          <w:trHeight w:val="345"/>
        </w:trPr>
        <w:tc>
          <w:tcPr>
            <w:tcW w:w="9360" w:type="dxa"/>
            <w:tcBorders>
              <w:top w:val="nil"/>
              <w:left w:val="nil"/>
              <w:bottom w:val="nil"/>
              <w:right w:val="nil"/>
            </w:tcBorders>
            <w:shd w:val="clear" w:color="auto" w:fill="auto"/>
            <w:noWrap/>
            <w:vAlign w:val="center"/>
            <w:hideMark/>
          </w:tcPr>
          <w:p w14:paraId="3EDB7076"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Avey, J. B., Reichard, R. J., Luthans, F., &amp; Mhatre, K. H. (2011). Meta-analysis of the impact of positive psychological capital on employee attitudes, behaviors, and performance. Human Resource Development Quarterly, 22(2), 127-152.</w:t>
            </w:r>
          </w:p>
        </w:tc>
      </w:tr>
      <w:tr w:rsidR="00886009" w:rsidRPr="0009687E" w14:paraId="68520566" w14:textId="77777777" w:rsidTr="007B4FE0">
        <w:trPr>
          <w:trHeight w:val="345"/>
        </w:trPr>
        <w:tc>
          <w:tcPr>
            <w:tcW w:w="9360" w:type="dxa"/>
            <w:tcBorders>
              <w:top w:val="nil"/>
              <w:left w:val="nil"/>
              <w:bottom w:val="nil"/>
              <w:right w:val="nil"/>
            </w:tcBorders>
            <w:shd w:val="clear" w:color="auto" w:fill="auto"/>
            <w:noWrap/>
            <w:vAlign w:val="center"/>
            <w:hideMark/>
          </w:tcPr>
          <w:p w14:paraId="6B52F370"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Bhamra, R., Dani, S., &amp; Burnard, K. (2011). Resilience: The concept, a literature review and future directions. International Journal of Production Research, 49(18), 5375-5393.</w:t>
            </w:r>
          </w:p>
        </w:tc>
      </w:tr>
      <w:tr w:rsidR="00886009" w:rsidRPr="0009687E" w14:paraId="549B5211" w14:textId="77777777" w:rsidTr="007B4FE0">
        <w:trPr>
          <w:trHeight w:val="345"/>
        </w:trPr>
        <w:tc>
          <w:tcPr>
            <w:tcW w:w="9360" w:type="dxa"/>
            <w:tcBorders>
              <w:top w:val="nil"/>
              <w:left w:val="nil"/>
              <w:bottom w:val="nil"/>
              <w:right w:val="nil"/>
            </w:tcBorders>
            <w:shd w:val="clear" w:color="auto" w:fill="auto"/>
            <w:noWrap/>
            <w:vAlign w:val="center"/>
            <w:hideMark/>
          </w:tcPr>
          <w:p w14:paraId="2DA601AF"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Bonanno, G. A. (2004). Loss, trauma, and human resilience: Have we underestimated the human capacity to thrive after extremely aversive events? American Psychologist, 59(1), 20-28.</w:t>
            </w:r>
          </w:p>
        </w:tc>
      </w:tr>
      <w:tr w:rsidR="00886009" w:rsidRPr="0009687E" w14:paraId="018E8C63" w14:textId="77777777" w:rsidTr="007B4FE0">
        <w:trPr>
          <w:trHeight w:val="345"/>
        </w:trPr>
        <w:tc>
          <w:tcPr>
            <w:tcW w:w="9360" w:type="dxa"/>
            <w:tcBorders>
              <w:top w:val="nil"/>
              <w:left w:val="nil"/>
              <w:bottom w:val="nil"/>
              <w:right w:val="nil"/>
            </w:tcBorders>
            <w:shd w:val="clear" w:color="auto" w:fill="auto"/>
            <w:noWrap/>
            <w:vAlign w:val="center"/>
            <w:hideMark/>
          </w:tcPr>
          <w:p w14:paraId="65A8388E"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Bonanno, G. A., &amp; Diminich, E. D. (2013). Annual Research Review: Positive adjustment to adversity—Trajectories of minimal–impact resilience and emergent resilience. Journal of Child Psychology and Psychiatry, 54(4), 378-401.</w:t>
            </w:r>
          </w:p>
        </w:tc>
      </w:tr>
      <w:tr w:rsidR="00886009" w:rsidRPr="0009687E" w14:paraId="734102CB" w14:textId="77777777" w:rsidTr="007B4FE0">
        <w:trPr>
          <w:trHeight w:val="345"/>
        </w:trPr>
        <w:tc>
          <w:tcPr>
            <w:tcW w:w="9360" w:type="dxa"/>
            <w:tcBorders>
              <w:top w:val="nil"/>
              <w:left w:val="nil"/>
              <w:bottom w:val="nil"/>
              <w:right w:val="nil"/>
            </w:tcBorders>
            <w:shd w:val="clear" w:color="auto" w:fill="auto"/>
            <w:noWrap/>
            <w:vAlign w:val="center"/>
            <w:hideMark/>
          </w:tcPr>
          <w:p w14:paraId="54AC5B8D"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Bonanno, G. A., &amp; Mancini, A. D. (2008). The human capacity to thrive in the face of potential trauma. Pediatrics, 121(2), 369-375.</w:t>
            </w:r>
          </w:p>
        </w:tc>
      </w:tr>
      <w:tr w:rsidR="00886009" w:rsidRPr="0009687E" w14:paraId="634CF067" w14:textId="77777777" w:rsidTr="007B4FE0">
        <w:trPr>
          <w:trHeight w:val="345"/>
        </w:trPr>
        <w:tc>
          <w:tcPr>
            <w:tcW w:w="9360" w:type="dxa"/>
            <w:tcBorders>
              <w:top w:val="nil"/>
              <w:left w:val="nil"/>
              <w:bottom w:val="nil"/>
              <w:right w:val="nil"/>
            </w:tcBorders>
            <w:shd w:val="clear" w:color="auto" w:fill="auto"/>
            <w:noWrap/>
            <w:vAlign w:val="center"/>
            <w:hideMark/>
          </w:tcPr>
          <w:p w14:paraId="2015117F"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Brown, D. R., &amp; Kulikov, A. V. (2016). Resilience as a mediator of the relationship between negative work events and psychological outcomes. Career Development International, 21(4), 409-426.</w:t>
            </w:r>
          </w:p>
        </w:tc>
      </w:tr>
      <w:tr w:rsidR="00886009" w:rsidRPr="0009687E" w14:paraId="7FB11DC5" w14:textId="77777777" w:rsidTr="007B4FE0">
        <w:trPr>
          <w:trHeight w:val="345"/>
        </w:trPr>
        <w:tc>
          <w:tcPr>
            <w:tcW w:w="9360" w:type="dxa"/>
            <w:tcBorders>
              <w:top w:val="nil"/>
              <w:left w:val="nil"/>
              <w:bottom w:val="nil"/>
              <w:right w:val="nil"/>
            </w:tcBorders>
            <w:shd w:val="clear" w:color="auto" w:fill="auto"/>
            <w:noWrap/>
            <w:vAlign w:val="center"/>
            <w:hideMark/>
          </w:tcPr>
          <w:p w14:paraId="19AF9343"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Cameron, K. S., &amp; Caza, A. (2004). Contributions to the discipline of positive organizational scholarship. American Behavioral Scientist, 47(6), 731-739.</w:t>
            </w:r>
          </w:p>
        </w:tc>
      </w:tr>
      <w:tr w:rsidR="00886009" w:rsidRPr="0009687E" w14:paraId="6F2CE03F" w14:textId="77777777" w:rsidTr="007B4FE0">
        <w:trPr>
          <w:trHeight w:val="345"/>
        </w:trPr>
        <w:tc>
          <w:tcPr>
            <w:tcW w:w="9360" w:type="dxa"/>
            <w:tcBorders>
              <w:top w:val="nil"/>
              <w:left w:val="nil"/>
              <w:bottom w:val="nil"/>
              <w:right w:val="nil"/>
            </w:tcBorders>
            <w:shd w:val="clear" w:color="auto" w:fill="auto"/>
            <w:noWrap/>
            <w:vAlign w:val="center"/>
            <w:hideMark/>
          </w:tcPr>
          <w:p w14:paraId="48D003C1"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Carver, C. S., &amp; Connor-Smith, J. (2010). Personality and coping. Annual Review of Psychology, 61, 679-704.</w:t>
            </w:r>
          </w:p>
        </w:tc>
      </w:tr>
      <w:tr w:rsidR="00886009" w:rsidRPr="0009687E" w14:paraId="51545FCA" w14:textId="77777777" w:rsidTr="007B4FE0">
        <w:trPr>
          <w:trHeight w:val="345"/>
        </w:trPr>
        <w:tc>
          <w:tcPr>
            <w:tcW w:w="9360" w:type="dxa"/>
            <w:tcBorders>
              <w:top w:val="nil"/>
              <w:left w:val="nil"/>
              <w:bottom w:val="nil"/>
              <w:right w:val="nil"/>
            </w:tcBorders>
            <w:shd w:val="clear" w:color="auto" w:fill="auto"/>
            <w:noWrap/>
            <w:vAlign w:val="center"/>
            <w:hideMark/>
          </w:tcPr>
          <w:p w14:paraId="27A3C8A0"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Chen, W., &amp; Zhang, J. (2018). Resilience and job satisfaction: The mediating effects of emotional labor strategies. Journal of Happiness Studies, 19(7), 2129-2144.</w:t>
            </w:r>
          </w:p>
        </w:tc>
      </w:tr>
      <w:tr w:rsidR="00886009" w:rsidRPr="0009687E" w14:paraId="698CB5EA" w14:textId="77777777" w:rsidTr="007B4FE0">
        <w:trPr>
          <w:trHeight w:val="345"/>
        </w:trPr>
        <w:tc>
          <w:tcPr>
            <w:tcW w:w="9360" w:type="dxa"/>
            <w:tcBorders>
              <w:top w:val="nil"/>
              <w:left w:val="nil"/>
              <w:bottom w:val="nil"/>
              <w:right w:val="nil"/>
            </w:tcBorders>
            <w:shd w:val="clear" w:color="auto" w:fill="auto"/>
            <w:noWrap/>
            <w:vAlign w:val="center"/>
            <w:hideMark/>
          </w:tcPr>
          <w:p w14:paraId="2CEBB508"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Chhetri, P., &amp; Aryal, A. (2019). Disaster resilience and business continuity of hotels in Nepal: A qualitative study. Journal of Hospitality and Tourism Management, 41, 112-119.</w:t>
            </w:r>
          </w:p>
        </w:tc>
      </w:tr>
      <w:tr w:rsidR="00886009" w:rsidRPr="0009687E" w14:paraId="6A51919B" w14:textId="77777777" w:rsidTr="007B4FE0">
        <w:trPr>
          <w:trHeight w:val="345"/>
        </w:trPr>
        <w:tc>
          <w:tcPr>
            <w:tcW w:w="9360" w:type="dxa"/>
            <w:tcBorders>
              <w:top w:val="nil"/>
              <w:left w:val="nil"/>
              <w:bottom w:val="nil"/>
              <w:right w:val="nil"/>
            </w:tcBorders>
            <w:shd w:val="clear" w:color="auto" w:fill="auto"/>
            <w:noWrap/>
            <w:vAlign w:val="center"/>
            <w:hideMark/>
          </w:tcPr>
          <w:p w14:paraId="562BD32F"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 xml:space="preserve">Cicchetti, D., &amp; </w:t>
            </w:r>
            <w:proofErr w:type="spellStart"/>
            <w:r w:rsidRPr="0009687E">
              <w:rPr>
                <w:rFonts w:asciiTheme="majorHAnsi" w:eastAsia="Times New Roman" w:hAnsiTheme="majorHAnsi" w:cs="Segoe UI"/>
                <w:bCs/>
                <w:color w:val="0D0D0D"/>
                <w:kern w:val="0"/>
                <w:sz w:val="24"/>
                <w:szCs w:val="24"/>
                <w14:ligatures w14:val="none"/>
              </w:rPr>
              <w:t>Garmezy</w:t>
            </w:r>
            <w:proofErr w:type="spellEnd"/>
            <w:r w:rsidRPr="0009687E">
              <w:rPr>
                <w:rFonts w:asciiTheme="majorHAnsi" w:eastAsia="Times New Roman" w:hAnsiTheme="majorHAnsi" w:cs="Segoe UI"/>
                <w:bCs/>
                <w:color w:val="0D0D0D"/>
                <w:kern w:val="0"/>
                <w:sz w:val="24"/>
                <w:szCs w:val="24"/>
                <w14:ligatures w14:val="none"/>
              </w:rPr>
              <w:t>, N. (Eds.). (1993). Developmental psychopathology: Perspectives on adjustment, risk, and disorder. John Wiley &amp; Sons.</w:t>
            </w:r>
          </w:p>
        </w:tc>
      </w:tr>
      <w:tr w:rsidR="00886009" w:rsidRPr="0009687E" w14:paraId="36A4994B" w14:textId="77777777" w:rsidTr="007B4FE0">
        <w:trPr>
          <w:trHeight w:val="345"/>
        </w:trPr>
        <w:tc>
          <w:tcPr>
            <w:tcW w:w="9360" w:type="dxa"/>
            <w:tcBorders>
              <w:top w:val="nil"/>
              <w:left w:val="nil"/>
              <w:bottom w:val="nil"/>
              <w:right w:val="nil"/>
            </w:tcBorders>
            <w:shd w:val="clear" w:color="auto" w:fill="auto"/>
            <w:noWrap/>
            <w:vAlign w:val="center"/>
            <w:hideMark/>
          </w:tcPr>
          <w:p w14:paraId="564BD7DA"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Conger, R. D., &amp; Donnellan, M. B. (2007). An interactionist perspective on the socioeconomic context of human development. Annual Review of Psychology, 58, 175-199.</w:t>
            </w:r>
          </w:p>
        </w:tc>
      </w:tr>
      <w:tr w:rsidR="00886009" w:rsidRPr="0009687E" w14:paraId="16329EC9" w14:textId="77777777" w:rsidTr="007B4FE0">
        <w:trPr>
          <w:trHeight w:val="345"/>
        </w:trPr>
        <w:tc>
          <w:tcPr>
            <w:tcW w:w="9360" w:type="dxa"/>
            <w:tcBorders>
              <w:top w:val="nil"/>
              <w:left w:val="nil"/>
              <w:bottom w:val="nil"/>
              <w:right w:val="nil"/>
            </w:tcBorders>
            <w:shd w:val="clear" w:color="auto" w:fill="auto"/>
            <w:noWrap/>
            <w:vAlign w:val="center"/>
            <w:hideMark/>
          </w:tcPr>
          <w:p w14:paraId="63999694"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Conger, R. D., &amp; Donnellan, M. B. (2007). An interactionist perspective on the socioeconomic context of human development. Annual Review of Psychology, 58, 175-199.</w:t>
            </w:r>
          </w:p>
        </w:tc>
      </w:tr>
      <w:tr w:rsidR="00886009" w:rsidRPr="0009687E" w14:paraId="0232DDD7" w14:textId="77777777" w:rsidTr="007B4FE0">
        <w:trPr>
          <w:trHeight w:val="345"/>
        </w:trPr>
        <w:tc>
          <w:tcPr>
            <w:tcW w:w="9360" w:type="dxa"/>
            <w:tcBorders>
              <w:top w:val="nil"/>
              <w:left w:val="nil"/>
              <w:bottom w:val="nil"/>
              <w:right w:val="nil"/>
            </w:tcBorders>
            <w:shd w:val="clear" w:color="auto" w:fill="auto"/>
            <w:noWrap/>
            <w:vAlign w:val="center"/>
            <w:hideMark/>
          </w:tcPr>
          <w:p w14:paraId="2F023187"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 xml:space="preserve">Danes, S. M., &amp; </w:t>
            </w:r>
            <w:proofErr w:type="spellStart"/>
            <w:r w:rsidRPr="0009687E">
              <w:rPr>
                <w:rFonts w:asciiTheme="majorHAnsi" w:eastAsia="Times New Roman" w:hAnsiTheme="majorHAnsi" w:cs="Segoe UI"/>
                <w:bCs/>
                <w:color w:val="0D0D0D"/>
                <w:kern w:val="0"/>
                <w:sz w:val="24"/>
                <w:szCs w:val="24"/>
                <w14:ligatures w14:val="none"/>
              </w:rPr>
              <w:t>Krysan</w:t>
            </w:r>
            <w:proofErr w:type="spellEnd"/>
            <w:r w:rsidRPr="0009687E">
              <w:rPr>
                <w:rFonts w:asciiTheme="majorHAnsi" w:eastAsia="Times New Roman" w:hAnsiTheme="majorHAnsi" w:cs="Segoe UI"/>
                <w:bCs/>
                <w:color w:val="0D0D0D"/>
                <w:kern w:val="0"/>
                <w:sz w:val="24"/>
                <w:szCs w:val="24"/>
                <w14:ligatures w14:val="none"/>
              </w:rPr>
              <w:t>, M. (2013). Online community college students' resilience: A qualitative approach. Community College Review, 41(1), 72-93.</w:t>
            </w:r>
          </w:p>
        </w:tc>
      </w:tr>
      <w:tr w:rsidR="00886009" w:rsidRPr="0009687E" w14:paraId="4F4F6B3A" w14:textId="77777777" w:rsidTr="007B4FE0">
        <w:trPr>
          <w:trHeight w:val="345"/>
        </w:trPr>
        <w:tc>
          <w:tcPr>
            <w:tcW w:w="9360" w:type="dxa"/>
            <w:tcBorders>
              <w:top w:val="nil"/>
              <w:left w:val="nil"/>
              <w:bottom w:val="nil"/>
              <w:right w:val="nil"/>
            </w:tcBorders>
            <w:shd w:val="clear" w:color="auto" w:fill="auto"/>
            <w:noWrap/>
            <w:vAlign w:val="center"/>
            <w:hideMark/>
          </w:tcPr>
          <w:p w14:paraId="747533C1"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 xml:space="preserve">Dutton, J. E., &amp; </w:t>
            </w:r>
            <w:proofErr w:type="spellStart"/>
            <w:r w:rsidRPr="0009687E">
              <w:rPr>
                <w:rFonts w:asciiTheme="majorHAnsi" w:eastAsia="Times New Roman" w:hAnsiTheme="majorHAnsi" w:cs="Segoe UI"/>
                <w:bCs/>
                <w:color w:val="0D0D0D"/>
                <w:kern w:val="0"/>
                <w:sz w:val="24"/>
                <w:szCs w:val="24"/>
                <w14:ligatures w14:val="none"/>
              </w:rPr>
              <w:t>Heaphy</w:t>
            </w:r>
            <w:proofErr w:type="spellEnd"/>
            <w:r w:rsidRPr="0009687E">
              <w:rPr>
                <w:rFonts w:asciiTheme="majorHAnsi" w:eastAsia="Times New Roman" w:hAnsiTheme="majorHAnsi" w:cs="Segoe UI"/>
                <w:bCs/>
                <w:color w:val="0D0D0D"/>
                <w:kern w:val="0"/>
                <w:sz w:val="24"/>
                <w:szCs w:val="24"/>
                <w14:ligatures w14:val="none"/>
              </w:rPr>
              <w:t>, E. D. (2003). The power of high-quality connections. Positive Organizational Scholarship, 3, 263-278.</w:t>
            </w:r>
          </w:p>
        </w:tc>
      </w:tr>
      <w:tr w:rsidR="00886009" w:rsidRPr="0009687E" w14:paraId="5F85B093" w14:textId="77777777" w:rsidTr="007B4FE0">
        <w:trPr>
          <w:trHeight w:val="345"/>
        </w:trPr>
        <w:tc>
          <w:tcPr>
            <w:tcW w:w="9360" w:type="dxa"/>
            <w:tcBorders>
              <w:top w:val="nil"/>
              <w:left w:val="nil"/>
              <w:bottom w:val="nil"/>
              <w:right w:val="nil"/>
            </w:tcBorders>
            <w:shd w:val="clear" w:color="auto" w:fill="auto"/>
            <w:noWrap/>
            <w:vAlign w:val="center"/>
            <w:hideMark/>
          </w:tcPr>
          <w:p w14:paraId="34D16112"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 xml:space="preserve">Egeland, B., Carlson, E., &amp; Sroufe, L. A. (1993). Resilience as </w:t>
            </w:r>
            <w:proofErr w:type="gramStart"/>
            <w:r w:rsidRPr="0009687E">
              <w:rPr>
                <w:rFonts w:asciiTheme="majorHAnsi" w:eastAsia="Times New Roman" w:hAnsiTheme="majorHAnsi" w:cs="Segoe UI"/>
                <w:bCs/>
                <w:color w:val="0D0D0D"/>
                <w:kern w:val="0"/>
                <w:sz w:val="24"/>
                <w:szCs w:val="24"/>
                <w14:ligatures w14:val="none"/>
              </w:rPr>
              <w:t>process</w:t>
            </w:r>
            <w:proofErr w:type="gramEnd"/>
            <w:r w:rsidRPr="0009687E">
              <w:rPr>
                <w:rFonts w:asciiTheme="majorHAnsi" w:eastAsia="Times New Roman" w:hAnsiTheme="majorHAnsi" w:cs="Segoe UI"/>
                <w:bCs/>
                <w:color w:val="0D0D0D"/>
                <w:kern w:val="0"/>
                <w:sz w:val="24"/>
                <w:szCs w:val="24"/>
                <w14:ligatures w14:val="none"/>
              </w:rPr>
              <w:t>. Development and Psychopathology, 5(4), 517-528.</w:t>
            </w:r>
          </w:p>
        </w:tc>
      </w:tr>
      <w:tr w:rsidR="00886009" w:rsidRPr="0009687E" w14:paraId="2AE05D3A" w14:textId="77777777" w:rsidTr="007B4FE0">
        <w:trPr>
          <w:trHeight w:val="345"/>
        </w:trPr>
        <w:tc>
          <w:tcPr>
            <w:tcW w:w="9360" w:type="dxa"/>
            <w:tcBorders>
              <w:top w:val="nil"/>
              <w:left w:val="nil"/>
              <w:bottom w:val="nil"/>
              <w:right w:val="nil"/>
            </w:tcBorders>
            <w:shd w:val="clear" w:color="auto" w:fill="auto"/>
            <w:noWrap/>
            <w:vAlign w:val="center"/>
            <w:hideMark/>
          </w:tcPr>
          <w:p w14:paraId="26D3EAB8"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Fergus, S., &amp; Zimmerman, M. A. (2005). Adolescent resilience: A framework for understanding healthy development in the face of risk. Annual Review of Public Health, 26(1), 399-419.</w:t>
            </w:r>
          </w:p>
        </w:tc>
      </w:tr>
      <w:tr w:rsidR="00886009" w:rsidRPr="0009687E" w14:paraId="533D46C0" w14:textId="77777777" w:rsidTr="007B4FE0">
        <w:trPr>
          <w:trHeight w:val="345"/>
        </w:trPr>
        <w:tc>
          <w:tcPr>
            <w:tcW w:w="9360" w:type="dxa"/>
            <w:tcBorders>
              <w:top w:val="nil"/>
              <w:left w:val="nil"/>
              <w:bottom w:val="nil"/>
              <w:right w:val="nil"/>
            </w:tcBorders>
            <w:shd w:val="clear" w:color="auto" w:fill="auto"/>
            <w:noWrap/>
            <w:vAlign w:val="center"/>
            <w:hideMark/>
          </w:tcPr>
          <w:p w14:paraId="7C653F60"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Fleming, S., Baum, F., &amp; Nayar, K. R. (2019). Understanding the roles of communities of practice in evidence-informed decision making in public health: A qualitative study. Health Policy and Planning, 34(3), 203-211.</w:t>
            </w:r>
          </w:p>
        </w:tc>
      </w:tr>
      <w:tr w:rsidR="00886009" w:rsidRPr="0009687E" w14:paraId="7B130F97" w14:textId="77777777" w:rsidTr="007B4FE0">
        <w:trPr>
          <w:trHeight w:val="345"/>
        </w:trPr>
        <w:tc>
          <w:tcPr>
            <w:tcW w:w="9360" w:type="dxa"/>
            <w:tcBorders>
              <w:top w:val="nil"/>
              <w:left w:val="nil"/>
              <w:bottom w:val="nil"/>
              <w:right w:val="nil"/>
            </w:tcBorders>
            <w:shd w:val="clear" w:color="auto" w:fill="auto"/>
            <w:noWrap/>
            <w:vAlign w:val="center"/>
            <w:hideMark/>
          </w:tcPr>
          <w:p w14:paraId="70D01DC5"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Fletcher, D., &amp; Sarkar, M. (2013). Psychological resilience: A review and critique of definitions, concepts, and theory. European Psychologist, 18(1), 12-23.</w:t>
            </w:r>
          </w:p>
        </w:tc>
      </w:tr>
      <w:tr w:rsidR="00886009" w:rsidRPr="0009687E" w14:paraId="24B9E32A" w14:textId="77777777" w:rsidTr="007B4FE0">
        <w:trPr>
          <w:trHeight w:val="345"/>
        </w:trPr>
        <w:tc>
          <w:tcPr>
            <w:tcW w:w="9360" w:type="dxa"/>
            <w:tcBorders>
              <w:top w:val="nil"/>
              <w:left w:val="nil"/>
              <w:bottom w:val="nil"/>
              <w:right w:val="nil"/>
            </w:tcBorders>
            <w:shd w:val="clear" w:color="auto" w:fill="auto"/>
            <w:noWrap/>
            <w:vAlign w:val="center"/>
            <w:hideMark/>
          </w:tcPr>
          <w:p w14:paraId="254A0BF8"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Foldy, E. G., Goldman, L., &amp; Ospina, S. (2018). Resilience capacities of organizations: Results from a field study. The Innovation Journal: The Public Sector Innovation Journal, 23(3), 1-18.</w:t>
            </w:r>
          </w:p>
        </w:tc>
      </w:tr>
      <w:tr w:rsidR="00886009" w:rsidRPr="0009687E" w14:paraId="36BCEBE3" w14:textId="77777777" w:rsidTr="007B4FE0">
        <w:trPr>
          <w:trHeight w:val="345"/>
        </w:trPr>
        <w:tc>
          <w:tcPr>
            <w:tcW w:w="9360" w:type="dxa"/>
            <w:tcBorders>
              <w:top w:val="nil"/>
              <w:left w:val="nil"/>
              <w:bottom w:val="nil"/>
              <w:right w:val="nil"/>
            </w:tcBorders>
            <w:shd w:val="clear" w:color="auto" w:fill="auto"/>
            <w:noWrap/>
            <w:vAlign w:val="center"/>
            <w:hideMark/>
          </w:tcPr>
          <w:p w14:paraId="0A4C9355"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George, J. M. (2007). Creativity in organizations. Academy of Management Annals, 1(1), 439-477.</w:t>
            </w:r>
          </w:p>
        </w:tc>
      </w:tr>
      <w:tr w:rsidR="00886009" w:rsidRPr="0009687E" w14:paraId="365A285E" w14:textId="77777777" w:rsidTr="007B4FE0">
        <w:trPr>
          <w:trHeight w:val="345"/>
        </w:trPr>
        <w:tc>
          <w:tcPr>
            <w:tcW w:w="9360" w:type="dxa"/>
            <w:tcBorders>
              <w:top w:val="nil"/>
              <w:left w:val="nil"/>
              <w:bottom w:val="nil"/>
              <w:right w:val="nil"/>
            </w:tcBorders>
            <w:shd w:val="clear" w:color="auto" w:fill="auto"/>
            <w:noWrap/>
            <w:vAlign w:val="center"/>
            <w:hideMark/>
          </w:tcPr>
          <w:p w14:paraId="08B22C4D"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Goldstein, S., &amp; Brooks, R. B. (Eds.). (2005). Handbook of resilience in children. Springer Science &amp; Business Media.</w:t>
            </w:r>
          </w:p>
        </w:tc>
      </w:tr>
      <w:tr w:rsidR="00886009" w:rsidRPr="0009687E" w14:paraId="042C4019" w14:textId="77777777" w:rsidTr="007B4FE0">
        <w:trPr>
          <w:trHeight w:val="345"/>
        </w:trPr>
        <w:tc>
          <w:tcPr>
            <w:tcW w:w="9360" w:type="dxa"/>
            <w:tcBorders>
              <w:top w:val="nil"/>
              <w:left w:val="nil"/>
              <w:bottom w:val="nil"/>
              <w:right w:val="nil"/>
            </w:tcBorders>
            <w:shd w:val="clear" w:color="auto" w:fill="auto"/>
            <w:noWrap/>
            <w:vAlign w:val="center"/>
            <w:hideMark/>
          </w:tcPr>
          <w:p w14:paraId="3BCB5FF0"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Hargrove, M. B. (2010). Leadership succession planning in business organizations: A sociocultural perspective. Advances in Developing Human Resources, 12(3), 281-292.</w:t>
            </w:r>
          </w:p>
        </w:tc>
      </w:tr>
      <w:tr w:rsidR="00886009" w:rsidRPr="0009687E" w14:paraId="15BAAA75" w14:textId="77777777" w:rsidTr="007B4FE0">
        <w:trPr>
          <w:trHeight w:val="345"/>
        </w:trPr>
        <w:tc>
          <w:tcPr>
            <w:tcW w:w="9360" w:type="dxa"/>
            <w:tcBorders>
              <w:top w:val="nil"/>
              <w:left w:val="nil"/>
              <w:bottom w:val="nil"/>
              <w:right w:val="nil"/>
            </w:tcBorders>
            <w:shd w:val="clear" w:color="auto" w:fill="auto"/>
            <w:noWrap/>
            <w:vAlign w:val="center"/>
            <w:hideMark/>
          </w:tcPr>
          <w:p w14:paraId="30A3C49E"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Hayes, S. C., Strosahl, K. D., &amp; Wilson, K. G. (2012). Acceptance and commitment therapy: The process and practice of mindful change. Guilford Press.</w:t>
            </w:r>
          </w:p>
        </w:tc>
      </w:tr>
      <w:tr w:rsidR="00886009" w:rsidRPr="0009687E" w14:paraId="2793F143" w14:textId="77777777" w:rsidTr="007B4FE0">
        <w:trPr>
          <w:trHeight w:val="345"/>
        </w:trPr>
        <w:tc>
          <w:tcPr>
            <w:tcW w:w="9360" w:type="dxa"/>
            <w:tcBorders>
              <w:top w:val="nil"/>
              <w:left w:val="nil"/>
              <w:bottom w:val="nil"/>
              <w:right w:val="nil"/>
            </w:tcBorders>
            <w:shd w:val="clear" w:color="auto" w:fill="auto"/>
            <w:noWrap/>
            <w:vAlign w:val="center"/>
            <w:hideMark/>
          </w:tcPr>
          <w:p w14:paraId="352A01CD"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 xml:space="preserve">Hildon, Z., Montgomery, S. M., Blane, D., Wiggins, R. D., &amp; </w:t>
            </w:r>
            <w:proofErr w:type="spellStart"/>
            <w:r w:rsidRPr="0009687E">
              <w:rPr>
                <w:rFonts w:asciiTheme="majorHAnsi" w:eastAsia="Times New Roman" w:hAnsiTheme="majorHAnsi" w:cs="Segoe UI"/>
                <w:bCs/>
                <w:color w:val="0D0D0D"/>
                <w:kern w:val="0"/>
                <w:sz w:val="24"/>
                <w:szCs w:val="24"/>
                <w14:ligatures w14:val="none"/>
              </w:rPr>
              <w:t>Netuveli</w:t>
            </w:r>
            <w:proofErr w:type="spellEnd"/>
            <w:r w:rsidRPr="0009687E">
              <w:rPr>
                <w:rFonts w:asciiTheme="majorHAnsi" w:eastAsia="Times New Roman" w:hAnsiTheme="majorHAnsi" w:cs="Segoe UI"/>
                <w:bCs/>
                <w:color w:val="0D0D0D"/>
                <w:kern w:val="0"/>
                <w:sz w:val="24"/>
                <w:szCs w:val="24"/>
                <w14:ligatures w14:val="none"/>
              </w:rPr>
              <w:t>, G. (2009). Examining resilience of quality of life in the face of health-related and psychosocial adversity at older ages: What is “right” about the way we age? The Gerontologist, 49(1), 36-47.</w:t>
            </w:r>
          </w:p>
        </w:tc>
      </w:tr>
      <w:tr w:rsidR="00886009" w:rsidRPr="0009687E" w14:paraId="708043D7" w14:textId="77777777" w:rsidTr="007B4FE0">
        <w:trPr>
          <w:trHeight w:val="345"/>
        </w:trPr>
        <w:tc>
          <w:tcPr>
            <w:tcW w:w="9360" w:type="dxa"/>
            <w:tcBorders>
              <w:top w:val="nil"/>
              <w:left w:val="nil"/>
              <w:bottom w:val="nil"/>
              <w:right w:val="nil"/>
            </w:tcBorders>
            <w:shd w:val="clear" w:color="auto" w:fill="auto"/>
            <w:noWrap/>
            <w:vAlign w:val="center"/>
            <w:hideMark/>
          </w:tcPr>
          <w:p w14:paraId="719B5E5F"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Hu, T., Zhang, D., &amp; Wang, J. (2015). A meta-analysis of the trait resilience and mental health. Personality and Individual Differences, 76, 18-27.</w:t>
            </w:r>
          </w:p>
        </w:tc>
      </w:tr>
      <w:tr w:rsidR="00886009" w:rsidRPr="0009687E" w14:paraId="33BC9E8D" w14:textId="77777777" w:rsidTr="007B4FE0">
        <w:trPr>
          <w:trHeight w:val="345"/>
        </w:trPr>
        <w:tc>
          <w:tcPr>
            <w:tcW w:w="9360" w:type="dxa"/>
            <w:tcBorders>
              <w:top w:val="nil"/>
              <w:left w:val="nil"/>
              <w:bottom w:val="nil"/>
              <w:right w:val="nil"/>
            </w:tcBorders>
            <w:shd w:val="clear" w:color="auto" w:fill="auto"/>
            <w:noWrap/>
            <w:vAlign w:val="center"/>
            <w:hideMark/>
          </w:tcPr>
          <w:p w14:paraId="03B78D83"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Johnson, S. L. (2016). The relationship between the group's resilience and the quality of the leader's decisions. Journal of Occupational and Organizational Psychology, 89(2), 278-300.</w:t>
            </w:r>
          </w:p>
        </w:tc>
      </w:tr>
      <w:tr w:rsidR="00886009" w:rsidRPr="0009687E" w14:paraId="41F4A52B" w14:textId="77777777" w:rsidTr="007B4FE0">
        <w:trPr>
          <w:trHeight w:val="345"/>
        </w:trPr>
        <w:tc>
          <w:tcPr>
            <w:tcW w:w="9360" w:type="dxa"/>
            <w:tcBorders>
              <w:top w:val="nil"/>
              <w:left w:val="nil"/>
              <w:bottom w:val="nil"/>
              <w:right w:val="nil"/>
            </w:tcBorders>
            <w:shd w:val="clear" w:color="auto" w:fill="auto"/>
            <w:noWrap/>
            <w:vAlign w:val="center"/>
            <w:hideMark/>
          </w:tcPr>
          <w:p w14:paraId="661B5765"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Kimhi, S., &amp; Shamai, M. (2004). Community resilience and the impact of stress: Adult response to Israel’s withdrawal from Lebanon. Journal of Community Psychology, 32(4), 439-451.</w:t>
            </w:r>
          </w:p>
        </w:tc>
      </w:tr>
      <w:tr w:rsidR="00886009" w:rsidRPr="0009687E" w14:paraId="4F4636C1" w14:textId="77777777" w:rsidTr="007B4FE0">
        <w:trPr>
          <w:trHeight w:val="345"/>
        </w:trPr>
        <w:tc>
          <w:tcPr>
            <w:tcW w:w="9360" w:type="dxa"/>
            <w:tcBorders>
              <w:top w:val="nil"/>
              <w:left w:val="nil"/>
              <w:bottom w:val="nil"/>
              <w:right w:val="nil"/>
            </w:tcBorders>
            <w:shd w:val="clear" w:color="auto" w:fill="auto"/>
            <w:noWrap/>
            <w:vAlign w:val="center"/>
            <w:hideMark/>
          </w:tcPr>
          <w:p w14:paraId="6171368A"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Luthans, F., &amp; Youssef, C. M. (2007). Emerging positive organizational behavior. Journal of Management, 33(3), 321-349.</w:t>
            </w:r>
          </w:p>
        </w:tc>
      </w:tr>
      <w:tr w:rsidR="00886009" w:rsidRPr="0009687E" w14:paraId="0D54D9E4" w14:textId="77777777" w:rsidTr="007B4FE0">
        <w:trPr>
          <w:trHeight w:val="345"/>
        </w:trPr>
        <w:tc>
          <w:tcPr>
            <w:tcW w:w="9360" w:type="dxa"/>
            <w:tcBorders>
              <w:top w:val="nil"/>
              <w:left w:val="nil"/>
              <w:bottom w:val="nil"/>
              <w:right w:val="nil"/>
            </w:tcBorders>
            <w:shd w:val="clear" w:color="auto" w:fill="auto"/>
            <w:noWrap/>
            <w:vAlign w:val="center"/>
            <w:hideMark/>
          </w:tcPr>
          <w:p w14:paraId="53AF7629"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Luthar, S. S., Cicchetti, D., &amp; Becker, B. (2000). The construct of resilience: A critical evaluation and guidelines for future work. Child Development, 71(3), 543-562.</w:t>
            </w:r>
          </w:p>
        </w:tc>
      </w:tr>
      <w:tr w:rsidR="00886009" w:rsidRPr="0009687E" w14:paraId="723CF0A3" w14:textId="77777777" w:rsidTr="007B4FE0">
        <w:trPr>
          <w:trHeight w:val="345"/>
        </w:trPr>
        <w:tc>
          <w:tcPr>
            <w:tcW w:w="9360" w:type="dxa"/>
            <w:tcBorders>
              <w:top w:val="nil"/>
              <w:left w:val="nil"/>
              <w:bottom w:val="nil"/>
              <w:right w:val="nil"/>
            </w:tcBorders>
            <w:shd w:val="clear" w:color="auto" w:fill="auto"/>
            <w:noWrap/>
            <w:vAlign w:val="center"/>
            <w:hideMark/>
          </w:tcPr>
          <w:p w14:paraId="0B37AEE3"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Masten, A. S. (2001). Ordinary magic: Resilience processes in development. American Psychologist, 56(3), 227-238.</w:t>
            </w:r>
          </w:p>
        </w:tc>
      </w:tr>
      <w:tr w:rsidR="00886009" w:rsidRPr="0009687E" w14:paraId="410C304F" w14:textId="77777777" w:rsidTr="007B4FE0">
        <w:trPr>
          <w:trHeight w:val="345"/>
        </w:trPr>
        <w:tc>
          <w:tcPr>
            <w:tcW w:w="9360" w:type="dxa"/>
            <w:tcBorders>
              <w:top w:val="nil"/>
              <w:left w:val="nil"/>
              <w:bottom w:val="nil"/>
              <w:right w:val="nil"/>
            </w:tcBorders>
            <w:shd w:val="clear" w:color="auto" w:fill="auto"/>
            <w:noWrap/>
            <w:vAlign w:val="center"/>
            <w:hideMark/>
          </w:tcPr>
          <w:p w14:paraId="26E88392"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Masten, A. S., &amp; Barnes, A. J. (2018). Resilience in children: Developmental perspectives. Children, 5(7), 98.</w:t>
            </w:r>
          </w:p>
        </w:tc>
      </w:tr>
      <w:tr w:rsidR="00886009" w:rsidRPr="0009687E" w14:paraId="0199A485" w14:textId="77777777" w:rsidTr="007B4FE0">
        <w:trPr>
          <w:trHeight w:val="345"/>
        </w:trPr>
        <w:tc>
          <w:tcPr>
            <w:tcW w:w="9360" w:type="dxa"/>
            <w:tcBorders>
              <w:top w:val="nil"/>
              <w:left w:val="nil"/>
              <w:bottom w:val="nil"/>
              <w:right w:val="nil"/>
            </w:tcBorders>
            <w:shd w:val="clear" w:color="auto" w:fill="auto"/>
            <w:noWrap/>
            <w:vAlign w:val="center"/>
            <w:hideMark/>
          </w:tcPr>
          <w:p w14:paraId="0BA6305A"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Masten, A. S., &amp; Obradović, J. (2006). Competence and resilience in development. Annals of the New York Academy of Sciences, 1094(1), 13-27.</w:t>
            </w:r>
          </w:p>
        </w:tc>
      </w:tr>
      <w:tr w:rsidR="00886009" w:rsidRPr="0009687E" w14:paraId="5B7BC914" w14:textId="77777777" w:rsidTr="007B4FE0">
        <w:trPr>
          <w:trHeight w:val="345"/>
        </w:trPr>
        <w:tc>
          <w:tcPr>
            <w:tcW w:w="9360" w:type="dxa"/>
            <w:tcBorders>
              <w:top w:val="nil"/>
              <w:left w:val="nil"/>
              <w:bottom w:val="nil"/>
              <w:right w:val="nil"/>
            </w:tcBorders>
            <w:shd w:val="clear" w:color="auto" w:fill="auto"/>
            <w:noWrap/>
            <w:vAlign w:val="center"/>
            <w:hideMark/>
          </w:tcPr>
          <w:p w14:paraId="7E494227"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Masten, A. S., &amp; Powell, J. L. (2003). A resilience framework for research, policy, and practice. Resilience and vulnerability: Adaptation in the context of childhood adversities, 1-28.</w:t>
            </w:r>
          </w:p>
        </w:tc>
      </w:tr>
      <w:tr w:rsidR="00886009" w:rsidRPr="0009687E" w14:paraId="7BE01DF9" w14:textId="77777777" w:rsidTr="007B4FE0">
        <w:trPr>
          <w:trHeight w:val="345"/>
        </w:trPr>
        <w:tc>
          <w:tcPr>
            <w:tcW w:w="9360" w:type="dxa"/>
            <w:tcBorders>
              <w:top w:val="nil"/>
              <w:left w:val="nil"/>
              <w:bottom w:val="nil"/>
              <w:right w:val="nil"/>
            </w:tcBorders>
            <w:shd w:val="clear" w:color="auto" w:fill="auto"/>
            <w:noWrap/>
            <w:vAlign w:val="center"/>
            <w:hideMark/>
          </w:tcPr>
          <w:p w14:paraId="36DDF3D6"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 xml:space="preserve">Masten, A. S., &amp; </w:t>
            </w:r>
            <w:proofErr w:type="spellStart"/>
            <w:r w:rsidRPr="0009687E">
              <w:rPr>
                <w:rFonts w:asciiTheme="majorHAnsi" w:eastAsia="Times New Roman" w:hAnsiTheme="majorHAnsi" w:cs="Segoe UI"/>
                <w:bCs/>
                <w:color w:val="0D0D0D"/>
                <w:kern w:val="0"/>
                <w:sz w:val="24"/>
                <w:szCs w:val="24"/>
                <w14:ligatures w14:val="none"/>
              </w:rPr>
              <w:t>Tellegen</w:t>
            </w:r>
            <w:proofErr w:type="spellEnd"/>
            <w:r w:rsidRPr="0009687E">
              <w:rPr>
                <w:rFonts w:asciiTheme="majorHAnsi" w:eastAsia="Times New Roman" w:hAnsiTheme="majorHAnsi" w:cs="Segoe UI"/>
                <w:bCs/>
                <w:color w:val="0D0D0D"/>
                <w:kern w:val="0"/>
                <w:sz w:val="24"/>
                <w:szCs w:val="24"/>
                <w14:ligatures w14:val="none"/>
              </w:rPr>
              <w:t>, A. (2012). Resilience in developmental psychopathology: Contributions of the project competence longitudinal study. Development and Psychopathology, 24(2), 345-361.</w:t>
            </w:r>
          </w:p>
        </w:tc>
      </w:tr>
      <w:tr w:rsidR="00886009" w:rsidRPr="0009687E" w14:paraId="4EBB8501" w14:textId="77777777" w:rsidTr="007B4FE0">
        <w:trPr>
          <w:trHeight w:val="345"/>
        </w:trPr>
        <w:tc>
          <w:tcPr>
            <w:tcW w:w="9360" w:type="dxa"/>
            <w:tcBorders>
              <w:top w:val="nil"/>
              <w:left w:val="nil"/>
              <w:bottom w:val="nil"/>
              <w:right w:val="nil"/>
            </w:tcBorders>
            <w:shd w:val="clear" w:color="auto" w:fill="auto"/>
            <w:noWrap/>
            <w:vAlign w:val="center"/>
            <w:hideMark/>
          </w:tcPr>
          <w:p w14:paraId="5FEAD35D"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Masten, A. S., &amp; Wright, M. O. (2010). Resilience over the lifespan: Developmental perspectives on resistance, recovery, and transformation. Handbook of adult resilience, 213-237.</w:t>
            </w:r>
          </w:p>
        </w:tc>
      </w:tr>
      <w:tr w:rsidR="00886009" w:rsidRPr="0009687E" w14:paraId="5B569CC2" w14:textId="77777777" w:rsidTr="007B4FE0">
        <w:trPr>
          <w:trHeight w:val="345"/>
        </w:trPr>
        <w:tc>
          <w:tcPr>
            <w:tcW w:w="9360" w:type="dxa"/>
            <w:tcBorders>
              <w:top w:val="nil"/>
              <w:left w:val="nil"/>
              <w:bottom w:val="nil"/>
              <w:right w:val="nil"/>
            </w:tcBorders>
            <w:shd w:val="clear" w:color="auto" w:fill="auto"/>
            <w:noWrap/>
            <w:vAlign w:val="center"/>
            <w:hideMark/>
          </w:tcPr>
          <w:p w14:paraId="0AEA58A0"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Masten, A. S., Cutuli, J. J., Herbers, J. E., &amp; Reed, M. G. (2009). Resilience in development. Oxford Handbook of Positive Psychology, 117-131.</w:t>
            </w:r>
          </w:p>
        </w:tc>
      </w:tr>
      <w:tr w:rsidR="00886009" w:rsidRPr="0009687E" w14:paraId="409075B1" w14:textId="77777777" w:rsidTr="007B4FE0">
        <w:trPr>
          <w:trHeight w:val="345"/>
        </w:trPr>
        <w:tc>
          <w:tcPr>
            <w:tcW w:w="9360" w:type="dxa"/>
            <w:tcBorders>
              <w:top w:val="nil"/>
              <w:left w:val="nil"/>
              <w:bottom w:val="nil"/>
              <w:right w:val="nil"/>
            </w:tcBorders>
            <w:shd w:val="clear" w:color="auto" w:fill="auto"/>
            <w:noWrap/>
            <w:vAlign w:val="center"/>
            <w:hideMark/>
          </w:tcPr>
          <w:p w14:paraId="24C8A5E1"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Olsson, C. A., Bond, L., Burns, J. M., Vella-Brodrick, D. A., &amp; Sawyer, S. M. (2003). Adolescent resilience: A concept analysis. Journal of Adolescence, 26(1), 1-11.</w:t>
            </w:r>
          </w:p>
        </w:tc>
      </w:tr>
      <w:tr w:rsidR="00886009" w:rsidRPr="0009687E" w14:paraId="70CF31E1" w14:textId="77777777" w:rsidTr="007B4FE0">
        <w:trPr>
          <w:trHeight w:val="345"/>
        </w:trPr>
        <w:tc>
          <w:tcPr>
            <w:tcW w:w="9360" w:type="dxa"/>
            <w:tcBorders>
              <w:top w:val="nil"/>
              <w:left w:val="nil"/>
              <w:bottom w:val="nil"/>
              <w:right w:val="nil"/>
            </w:tcBorders>
            <w:shd w:val="clear" w:color="auto" w:fill="auto"/>
            <w:noWrap/>
            <w:vAlign w:val="center"/>
            <w:hideMark/>
          </w:tcPr>
          <w:p w14:paraId="00FFCFB0"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Pidgeon, N., Hood, C., Jones, D., Turner, B., &amp; Gibson, R. (2014). Risk perception. Routledge.</w:t>
            </w:r>
          </w:p>
        </w:tc>
      </w:tr>
      <w:tr w:rsidR="00886009" w:rsidRPr="0009687E" w14:paraId="0347CD9A" w14:textId="77777777" w:rsidTr="007B4FE0">
        <w:trPr>
          <w:trHeight w:val="345"/>
        </w:trPr>
        <w:tc>
          <w:tcPr>
            <w:tcW w:w="9360" w:type="dxa"/>
            <w:tcBorders>
              <w:top w:val="nil"/>
              <w:left w:val="nil"/>
              <w:bottom w:val="nil"/>
              <w:right w:val="nil"/>
            </w:tcBorders>
            <w:shd w:val="clear" w:color="auto" w:fill="auto"/>
            <w:noWrap/>
            <w:vAlign w:val="center"/>
            <w:hideMark/>
          </w:tcPr>
          <w:p w14:paraId="57B9859D"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Polk, L. V. (1997). Toward a middle-range theory of resilience. Advances in Nursing Science, 19(3), 1-13.</w:t>
            </w:r>
          </w:p>
        </w:tc>
      </w:tr>
      <w:tr w:rsidR="00886009" w:rsidRPr="0009687E" w14:paraId="4F56A14C" w14:textId="77777777" w:rsidTr="007B4FE0">
        <w:trPr>
          <w:trHeight w:val="345"/>
        </w:trPr>
        <w:tc>
          <w:tcPr>
            <w:tcW w:w="9360" w:type="dxa"/>
            <w:tcBorders>
              <w:top w:val="nil"/>
              <w:left w:val="nil"/>
              <w:bottom w:val="nil"/>
              <w:right w:val="nil"/>
            </w:tcBorders>
            <w:shd w:val="clear" w:color="auto" w:fill="auto"/>
            <w:noWrap/>
            <w:vAlign w:val="center"/>
            <w:hideMark/>
          </w:tcPr>
          <w:p w14:paraId="74A74032"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 xml:space="preserve">Pollock, T. G., &amp; </w:t>
            </w:r>
            <w:proofErr w:type="spellStart"/>
            <w:r w:rsidRPr="0009687E">
              <w:rPr>
                <w:rFonts w:asciiTheme="majorHAnsi" w:eastAsia="Times New Roman" w:hAnsiTheme="majorHAnsi" w:cs="Segoe UI"/>
                <w:bCs/>
                <w:color w:val="0D0D0D"/>
                <w:kern w:val="0"/>
                <w:sz w:val="24"/>
                <w:szCs w:val="24"/>
                <w14:ligatures w14:val="none"/>
              </w:rPr>
              <w:t>Rindova</w:t>
            </w:r>
            <w:proofErr w:type="spellEnd"/>
            <w:r w:rsidRPr="0009687E">
              <w:rPr>
                <w:rFonts w:asciiTheme="majorHAnsi" w:eastAsia="Times New Roman" w:hAnsiTheme="majorHAnsi" w:cs="Segoe UI"/>
                <w:bCs/>
                <w:color w:val="0D0D0D"/>
                <w:kern w:val="0"/>
                <w:sz w:val="24"/>
                <w:szCs w:val="24"/>
                <w14:ligatures w14:val="none"/>
              </w:rPr>
              <w:t xml:space="preserve">, V. P. (2003). Media legitimation </w:t>
            </w:r>
            <w:proofErr w:type="gramStart"/>
            <w:r w:rsidRPr="0009687E">
              <w:rPr>
                <w:rFonts w:asciiTheme="majorHAnsi" w:eastAsia="Times New Roman" w:hAnsiTheme="majorHAnsi" w:cs="Segoe UI"/>
                <w:bCs/>
                <w:color w:val="0D0D0D"/>
                <w:kern w:val="0"/>
                <w:sz w:val="24"/>
                <w:szCs w:val="24"/>
                <w14:ligatures w14:val="none"/>
              </w:rPr>
              <w:t>effects in</w:t>
            </w:r>
            <w:proofErr w:type="gramEnd"/>
            <w:r w:rsidRPr="0009687E">
              <w:rPr>
                <w:rFonts w:asciiTheme="majorHAnsi" w:eastAsia="Times New Roman" w:hAnsiTheme="majorHAnsi" w:cs="Segoe UI"/>
                <w:bCs/>
                <w:color w:val="0D0D0D"/>
                <w:kern w:val="0"/>
                <w:sz w:val="24"/>
                <w:szCs w:val="24"/>
                <w14:ligatures w14:val="none"/>
              </w:rPr>
              <w:t xml:space="preserve"> the market for initial public offerings. Academy of Management Journal, 46(5), 631-642.</w:t>
            </w:r>
          </w:p>
        </w:tc>
      </w:tr>
      <w:tr w:rsidR="00886009" w:rsidRPr="0009687E" w14:paraId="6A576565" w14:textId="77777777" w:rsidTr="007B4FE0">
        <w:trPr>
          <w:trHeight w:val="345"/>
        </w:trPr>
        <w:tc>
          <w:tcPr>
            <w:tcW w:w="9360" w:type="dxa"/>
            <w:tcBorders>
              <w:top w:val="nil"/>
              <w:left w:val="nil"/>
              <w:bottom w:val="nil"/>
              <w:right w:val="nil"/>
            </w:tcBorders>
            <w:shd w:val="clear" w:color="auto" w:fill="auto"/>
            <w:noWrap/>
            <w:vAlign w:val="center"/>
            <w:hideMark/>
          </w:tcPr>
          <w:p w14:paraId="4976B700"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Pulido-Martos, M., Lopez-Zafra, E., &amp; Estévez-López, F. (2015). The moderating effect of resilience on depression, anxiety and stress in oncology patients. Quality of Life Research, 24(2), 485-494.</w:t>
            </w:r>
          </w:p>
        </w:tc>
      </w:tr>
      <w:tr w:rsidR="00886009" w:rsidRPr="0009687E" w14:paraId="003B4E86" w14:textId="77777777" w:rsidTr="007B4FE0">
        <w:trPr>
          <w:trHeight w:val="345"/>
        </w:trPr>
        <w:tc>
          <w:tcPr>
            <w:tcW w:w="9360" w:type="dxa"/>
            <w:tcBorders>
              <w:top w:val="nil"/>
              <w:left w:val="nil"/>
              <w:bottom w:val="nil"/>
              <w:right w:val="nil"/>
            </w:tcBorders>
            <w:shd w:val="clear" w:color="auto" w:fill="auto"/>
            <w:noWrap/>
            <w:vAlign w:val="center"/>
            <w:hideMark/>
          </w:tcPr>
          <w:p w14:paraId="35D9D132"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Rutter, M. (1993). Resilience: Some conceptual considerations. Journal of Adolescent Health, 14(8), 626-631.</w:t>
            </w:r>
          </w:p>
        </w:tc>
      </w:tr>
      <w:tr w:rsidR="00886009" w:rsidRPr="0009687E" w14:paraId="7BFCFFC5" w14:textId="77777777" w:rsidTr="007B4FE0">
        <w:trPr>
          <w:trHeight w:val="345"/>
        </w:trPr>
        <w:tc>
          <w:tcPr>
            <w:tcW w:w="9360" w:type="dxa"/>
            <w:tcBorders>
              <w:top w:val="nil"/>
              <w:left w:val="nil"/>
              <w:bottom w:val="nil"/>
              <w:right w:val="nil"/>
            </w:tcBorders>
            <w:shd w:val="clear" w:color="auto" w:fill="auto"/>
            <w:noWrap/>
            <w:vAlign w:val="center"/>
            <w:hideMark/>
          </w:tcPr>
          <w:p w14:paraId="7E40189B"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Rutter, M. (2006). Implications of resilience concepts for scientific understanding. Annals of the New York Academy of Sciences, 1094(1), 1-12.</w:t>
            </w:r>
          </w:p>
        </w:tc>
      </w:tr>
      <w:tr w:rsidR="00886009" w:rsidRPr="0009687E" w14:paraId="2E0DCA9F" w14:textId="77777777" w:rsidTr="007B4FE0">
        <w:trPr>
          <w:trHeight w:val="345"/>
        </w:trPr>
        <w:tc>
          <w:tcPr>
            <w:tcW w:w="9360" w:type="dxa"/>
            <w:tcBorders>
              <w:top w:val="nil"/>
              <w:left w:val="nil"/>
              <w:bottom w:val="nil"/>
              <w:right w:val="nil"/>
            </w:tcBorders>
            <w:shd w:val="clear" w:color="auto" w:fill="auto"/>
            <w:noWrap/>
            <w:vAlign w:val="center"/>
            <w:hideMark/>
          </w:tcPr>
          <w:p w14:paraId="33ED34C2"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Rutter, M. (2012). Resilience as a dynamic concept. Development and Psychopathology, 24(2), 335-344.</w:t>
            </w:r>
          </w:p>
        </w:tc>
      </w:tr>
      <w:tr w:rsidR="00886009" w:rsidRPr="0009687E" w14:paraId="760079C7" w14:textId="77777777" w:rsidTr="007B4FE0">
        <w:trPr>
          <w:trHeight w:val="345"/>
        </w:trPr>
        <w:tc>
          <w:tcPr>
            <w:tcW w:w="9360" w:type="dxa"/>
            <w:tcBorders>
              <w:top w:val="nil"/>
              <w:left w:val="nil"/>
              <w:bottom w:val="nil"/>
              <w:right w:val="nil"/>
            </w:tcBorders>
            <w:shd w:val="clear" w:color="auto" w:fill="auto"/>
            <w:noWrap/>
            <w:vAlign w:val="center"/>
            <w:hideMark/>
          </w:tcPr>
          <w:p w14:paraId="62230EED"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Rutter, M. (2013). Annual research review: Resilience—clinical implications. Journal of Child Psychology and Psychiatry, 54(4), 474-487.</w:t>
            </w:r>
          </w:p>
        </w:tc>
      </w:tr>
      <w:tr w:rsidR="00886009" w:rsidRPr="0009687E" w14:paraId="1B4C07C9" w14:textId="77777777" w:rsidTr="007B4FE0">
        <w:trPr>
          <w:trHeight w:val="345"/>
        </w:trPr>
        <w:tc>
          <w:tcPr>
            <w:tcW w:w="9360" w:type="dxa"/>
            <w:tcBorders>
              <w:top w:val="nil"/>
              <w:left w:val="nil"/>
              <w:bottom w:val="nil"/>
              <w:right w:val="nil"/>
            </w:tcBorders>
            <w:shd w:val="clear" w:color="auto" w:fill="auto"/>
            <w:noWrap/>
            <w:vAlign w:val="center"/>
            <w:hideMark/>
          </w:tcPr>
          <w:p w14:paraId="0B4CC5C7"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 xml:space="preserve">Southwick, S. M., Bonanno, G. A., Masten, A. S., Panter-Brick, C., &amp; Yehuda, R. (2014). Resilience definitions, theory, and challenges: Interdisciplinary perspectives. European Journal of </w:t>
            </w:r>
            <w:proofErr w:type="spellStart"/>
            <w:r w:rsidRPr="0009687E">
              <w:rPr>
                <w:rFonts w:asciiTheme="majorHAnsi" w:eastAsia="Times New Roman" w:hAnsiTheme="majorHAnsi" w:cs="Segoe UI"/>
                <w:bCs/>
                <w:color w:val="0D0D0D"/>
                <w:kern w:val="0"/>
                <w:sz w:val="24"/>
                <w:szCs w:val="24"/>
                <w14:ligatures w14:val="none"/>
              </w:rPr>
              <w:t>Psychotraumatology</w:t>
            </w:r>
            <w:proofErr w:type="spellEnd"/>
            <w:r w:rsidRPr="0009687E">
              <w:rPr>
                <w:rFonts w:asciiTheme="majorHAnsi" w:eastAsia="Times New Roman" w:hAnsiTheme="majorHAnsi" w:cs="Segoe UI"/>
                <w:bCs/>
                <w:color w:val="0D0D0D"/>
                <w:kern w:val="0"/>
                <w:sz w:val="24"/>
                <w:szCs w:val="24"/>
                <w14:ligatures w14:val="none"/>
              </w:rPr>
              <w:t>, 5(1), 25338.</w:t>
            </w:r>
          </w:p>
        </w:tc>
      </w:tr>
      <w:tr w:rsidR="00886009" w:rsidRPr="0009687E" w14:paraId="205A246B" w14:textId="77777777" w:rsidTr="007B4FE0">
        <w:trPr>
          <w:trHeight w:val="345"/>
        </w:trPr>
        <w:tc>
          <w:tcPr>
            <w:tcW w:w="9360" w:type="dxa"/>
            <w:tcBorders>
              <w:top w:val="nil"/>
              <w:left w:val="nil"/>
              <w:bottom w:val="nil"/>
              <w:right w:val="nil"/>
            </w:tcBorders>
            <w:shd w:val="clear" w:color="auto" w:fill="auto"/>
            <w:noWrap/>
            <w:vAlign w:val="center"/>
            <w:hideMark/>
          </w:tcPr>
          <w:p w14:paraId="4ED36F1A"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Theron, L. C., Liebenberg, L., &amp; Ungar, M. (2015). Youth resilience and culture: Commonalities and complexities. Springer.</w:t>
            </w:r>
          </w:p>
        </w:tc>
      </w:tr>
      <w:tr w:rsidR="00886009" w:rsidRPr="0009687E" w14:paraId="0C13E6BC" w14:textId="77777777" w:rsidTr="007B4FE0">
        <w:trPr>
          <w:trHeight w:val="345"/>
        </w:trPr>
        <w:tc>
          <w:tcPr>
            <w:tcW w:w="9360" w:type="dxa"/>
            <w:tcBorders>
              <w:top w:val="nil"/>
              <w:left w:val="nil"/>
              <w:bottom w:val="nil"/>
              <w:right w:val="nil"/>
            </w:tcBorders>
            <w:shd w:val="clear" w:color="auto" w:fill="auto"/>
            <w:noWrap/>
            <w:vAlign w:val="center"/>
            <w:hideMark/>
          </w:tcPr>
          <w:p w14:paraId="3D33ECE5"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Ungar, M. (2008). Resilience across cultures. British Journal of Social Work, 38(2), 218-235.</w:t>
            </w:r>
          </w:p>
        </w:tc>
      </w:tr>
      <w:tr w:rsidR="00886009" w:rsidRPr="0009687E" w14:paraId="50E43297" w14:textId="77777777" w:rsidTr="007B4FE0">
        <w:trPr>
          <w:trHeight w:val="345"/>
        </w:trPr>
        <w:tc>
          <w:tcPr>
            <w:tcW w:w="9360" w:type="dxa"/>
            <w:tcBorders>
              <w:top w:val="nil"/>
              <w:left w:val="nil"/>
              <w:bottom w:val="nil"/>
              <w:right w:val="nil"/>
            </w:tcBorders>
            <w:shd w:val="clear" w:color="auto" w:fill="auto"/>
            <w:noWrap/>
            <w:vAlign w:val="center"/>
            <w:hideMark/>
          </w:tcPr>
          <w:p w14:paraId="72877018"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Ungar, M. (2011). The social ecology of resilience: Addressing contextual and cultural ambiguity of a nascent construct. American Journal of Orthopsychiatry, 81(1), 1-17.</w:t>
            </w:r>
          </w:p>
        </w:tc>
      </w:tr>
      <w:tr w:rsidR="00886009" w:rsidRPr="0009687E" w14:paraId="0907A6A1" w14:textId="77777777" w:rsidTr="007B4FE0">
        <w:trPr>
          <w:trHeight w:val="345"/>
        </w:trPr>
        <w:tc>
          <w:tcPr>
            <w:tcW w:w="9360" w:type="dxa"/>
            <w:tcBorders>
              <w:top w:val="nil"/>
              <w:left w:val="nil"/>
              <w:bottom w:val="nil"/>
              <w:right w:val="nil"/>
            </w:tcBorders>
            <w:shd w:val="clear" w:color="auto" w:fill="auto"/>
            <w:noWrap/>
            <w:vAlign w:val="center"/>
            <w:hideMark/>
          </w:tcPr>
          <w:p w14:paraId="5D75BE05" w14:textId="77777777" w:rsidR="00886009" w:rsidRPr="0009687E" w:rsidRDefault="00886009" w:rsidP="007B4FE0">
            <w:pPr>
              <w:spacing w:after="0" w:line="240" w:lineRule="auto"/>
              <w:ind w:firstLineChars="100" w:firstLine="240"/>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Ungar, M. (2018). Systems theory, globalization, and the space for resilience in adolescence. Research in Human Development, 15(3-4), 238-251.</w:t>
            </w:r>
          </w:p>
        </w:tc>
      </w:tr>
    </w:tbl>
    <w:p w14:paraId="059015AE" w14:textId="77777777" w:rsidR="00886009" w:rsidRPr="0009687E" w:rsidRDefault="00886009" w:rsidP="00886009">
      <w:pPr>
        <w:pStyle w:val="Heading1"/>
        <w:rPr>
          <w:bCs/>
          <w:sz w:val="24"/>
          <w:szCs w:val="24"/>
        </w:rPr>
      </w:pPr>
      <w:bookmarkStart w:id="44" w:name="_Toc168210200"/>
      <w:bookmarkStart w:id="45" w:name="_Toc168210356"/>
      <w:r w:rsidRPr="0009687E">
        <w:rPr>
          <w:bCs/>
          <w:sz w:val="24"/>
          <w:szCs w:val="24"/>
        </w:rPr>
        <w:t>Plan to implement URT principles:</w:t>
      </w:r>
      <w:bookmarkEnd w:id="44"/>
      <w:bookmarkEnd w:id="45"/>
    </w:p>
    <w:p w14:paraId="039C679E" w14:textId="77777777" w:rsidR="00886009" w:rsidRPr="0009687E" w:rsidRDefault="00886009" w:rsidP="00886009">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Education and Awareness</w:t>
      </w:r>
      <w:r w:rsidRPr="0009687E">
        <w:rPr>
          <w:rFonts w:asciiTheme="majorHAnsi" w:hAnsiTheme="majorHAnsi" w:cs="Segoe UI"/>
          <w:bCs/>
          <w:color w:val="0D0D0D"/>
        </w:rPr>
        <w:t>: Begin by educating stakeholders about the key concepts and principles of URT. This could involve conducting workshops, seminars, or webinars to introduce the theory, its theoretical foundations, and its implications for various fields such as psychology, sociology, education, and public health.</w:t>
      </w:r>
    </w:p>
    <w:p w14:paraId="223FBCBE" w14:textId="77777777" w:rsidR="00886009" w:rsidRPr="0009687E" w:rsidRDefault="00886009" w:rsidP="00886009">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Integration into Existing Programs</w:t>
      </w:r>
      <w:r w:rsidRPr="0009687E">
        <w:rPr>
          <w:rFonts w:asciiTheme="majorHAnsi" w:hAnsiTheme="majorHAnsi" w:cs="Segoe UI"/>
          <w:bCs/>
          <w:color w:val="0D0D0D"/>
        </w:rPr>
        <w:t>: Identify existing programs or interventions related to resilience and explore ways to integrate URT principles into these initiatives. For example, if you're working in mental health, you might incorporate URT concepts into therapy sessions or resilience-building workshops.</w:t>
      </w:r>
    </w:p>
    <w:p w14:paraId="02387C2D" w14:textId="77777777" w:rsidR="00886009" w:rsidRPr="0009687E" w:rsidRDefault="00886009" w:rsidP="00886009">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Research and Evaluation</w:t>
      </w:r>
      <w:r w:rsidRPr="0009687E">
        <w:rPr>
          <w:rFonts w:asciiTheme="majorHAnsi" w:hAnsiTheme="majorHAnsi" w:cs="Segoe UI"/>
          <w:bCs/>
          <w:color w:val="0D0D0D"/>
        </w:rPr>
        <w:t>: Conduct research to validate and refine URT concepts and frameworks. This could involve designing studies to examine the applicability of URT across different populations and contexts, as well as evaluating the effectiveness of interventions informed by URT principles.</w:t>
      </w:r>
    </w:p>
    <w:p w14:paraId="4C0071D6" w14:textId="77777777" w:rsidR="00886009" w:rsidRPr="0009687E" w:rsidRDefault="00886009" w:rsidP="00886009">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Professional Development</w:t>
      </w:r>
      <w:r w:rsidRPr="0009687E">
        <w:rPr>
          <w:rFonts w:asciiTheme="majorHAnsi" w:hAnsiTheme="majorHAnsi" w:cs="Segoe UI"/>
          <w:bCs/>
          <w:color w:val="0D0D0D"/>
        </w:rPr>
        <w:t>: Offer professional development opportunities for practitioners interested in applying URT in their work. This could include specialized training courses, certification programs, or continuing education workshops focused on URT concepts and their practical implications.</w:t>
      </w:r>
    </w:p>
    <w:p w14:paraId="481BEE05" w14:textId="77777777" w:rsidR="00886009" w:rsidRPr="0009687E" w:rsidRDefault="00886009" w:rsidP="00886009">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Collaboration and Networking</w:t>
      </w:r>
      <w:r w:rsidRPr="0009687E">
        <w:rPr>
          <w:rFonts w:asciiTheme="majorHAnsi" w:hAnsiTheme="majorHAnsi" w:cs="Segoe UI"/>
          <w:bCs/>
          <w:color w:val="0D0D0D"/>
        </w:rPr>
        <w:t>: Foster collaboration and networking among professionals and organizations interested in URT. This could involve creating online communities, forums, or discussion groups where individuals can share resources, exchange ideas, and collaborate on research or intervention projects.</w:t>
      </w:r>
    </w:p>
    <w:p w14:paraId="72870709" w14:textId="77777777" w:rsidR="00886009" w:rsidRPr="0009687E" w:rsidRDefault="00886009" w:rsidP="00886009">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Dissemination of Resources</w:t>
      </w:r>
      <w:r w:rsidRPr="0009687E">
        <w:rPr>
          <w:rFonts w:asciiTheme="majorHAnsi" w:hAnsiTheme="majorHAnsi" w:cs="Segoe UI"/>
          <w:bCs/>
          <w:color w:val="0D0D0D"/>
        </w:rPr>
        <w:t>: Develop and disseminate resources that promote understanding and application of URT principles. This could include publications, toolkits, manuals, or online resources that provide practical guidance and examples of how to apply URT in different settings.</w:t>
      </w:r>
    </w:p>
    <w:p w14:paraId="4125E093" w14:textId="77777777" w:rsidR="00886009" w:rsidRPr="0009687E" w:rsidRDefault="00886009" w:rsidP="00886009">
      <w:pPr>
        <w:pStyle w:val="NormalWeb"/>
        <w:numPr>
          <w:ilvl w:val="0"/>
          <w:numId w:val="37"/>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ajorHAnsi" w:hAnsiTheme="majorHAnsi" w:cs="Segoe UI"/>
          <w:bCs/>
          <w:color w:val="0D0D0D"/>
        </w:rPr>
      </w:pPr>
      <w:r w:rsidRPr="0009687E">
        <w:rPr>
          <w:rStyle w:val="Strong"/>
          <w:rFonts w:asciiTheme="majorHAnsi" w:eastAsiaTheme="majorEastAsia" w:hAnsiTheme="majorHAnsi" w:cs="Segoe UI"/>
          <w:b w:val="0"/>
          <w:color w:val="0D0D0D"/>
          <w:bdr w:val="single" w:sz="2" w:space="0" w:color="E3E3E3" w:frame="1"/>
        </w:rPr>
        <w:t>Advocacy and Policy</w:t>
      </w:r>
      <w:r w:rsidRPr="0009687E">
        <w:rPr>
          <w:rFonts w:asciiTheme="majorHAnsi" w:hAnsiTheme="majorHAnsi" w:cs="Segoe UI"/>
          <w:bCs/>
          <w:color w:val="0D0D0D"/>
        </w:rPr>
        <w:t>: Advocate for the integration of URT principles into policies, programs, and initiatives aimed at promoting resilience and well-being at individual, community, and societal levels. This could involve engaging with policymakers, advocating for funding support, and raising awareness about the importance of resilience-oriented approaches.</w:t>
      </w:r>
    </w:p>
    <w:p w14:paraId="65254E6D" w14:textId="77777777" w:rsidR="00886009" w:rsidRPr="0009687E" w:rsidRDefault="00886009" w:rsidP="0088600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ajorHAnsi" w:hAnsiTheme="majorHAnsi" w:cs="Segoe UI"/>
          <w:bCs/>
          <w:color w:val="0D0D0D"/>
        </w:rPr>
      </w:pPr>
      <w:r w:rsidRPr="0009687E">
        <w:rPr>
          <w:rFonts w:asciiTheme="majorHAnsi" w:hAnsiTheme="majorHAnsi" w:cs="Segoe UI"/>
          <w:bCs/>
          <w:color w:val="0D0D0D"/>
        </w:rPr>
        <w:t>Overall, the implementation of URT involves a multidimensional approach that combines education, research, collaboration, and advocacy to promote resilience and well-being across diverse populations and contexts.</w:t>
      </w:r>
    </w:p>
    <w:p w14:paraId="633EA26F"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Universal Resilience Theory (URT) Training Workshop</w:t>
      </w:r>
    </w:p>
    <w:p w14:paraId="74EA594F"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Duration: 2 days (can be adjusted based on needs)</w:t>
      </w:r>
    </w:p>
    <w:p w14:paraId="5D71157F"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Objective: The Universal Resilience Theory (URT) Training Workshop aims to provide participants with a comprehensive understanding of URT principles and practical strategies for applying these principles in various professional contexts. By the end of the workshop, participants will be equipped with the knowledge and skills to integrate URT into their work to promote resilience and well-being.</w:t>
      </w:r>
    </w:p>
    <w:p w14:paraId="56529542"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Day 1:</w:t>
      </w:r>
    </w:p>
    <w:p w14:paraId="3934E2F0"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Session 1: Introduction to Universal Resilience Theory</w:t>
      </w:r>
    </w:p>
    <w:p w14:paraId="3CF2E27C" w14:textId="77777777" w:rsidR="00886009" w:rsidRPr="0009687E" w:rsidRDefault="00886009" w:rsidP="00886009">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Overview of resilience and its significance in diverse contexts</w:t>
      </w:r>
    </w:p>
    <w:p w14:paraId="4CE78BF5" w14:textId="77777777" w:rsidR="00886009" w:rsidRPr="0009687E" w:rsidRDefault="00886009" w:rsidP="00886009">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Introduction to URT: Origins, key concepts, and theoretical foundations</w:t>
      </w:r>
    </w:p>
    <w:p w14:paraId="69F118D5" w14:textId="77777777" w:rsidR="00886009" w:rsidRPr="0009687E" w:rsidRDefault="00886009" w:rsidP="00886009">
      <w:pPr>
        <w:numPr>
          <w:ilvl w:val="0"/>
          <w:numId w:val="3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Understanding the core tenets of URT: Universality, adaptability, and dynamic interplay</w:t>
      </w:r>
    </w:p>
    <w:p w14:paraId="6152939F"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Session 2: Components of Universal Resilience</w:t>
      </w:r>
    </w:p>
    <w:p w14:paraId="37F61859" w14:textId="77777777" w:rsidR="00886009" w:rsidRPr="0009687E" w:rsidRDefault="00886009" w:rsidP="00886009">
      <w:pPr>
        <w:numPr>
          <w:ilvl w:val="0"/>
          <w:numId w:val="3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Exploring the components of resilience according to URT: Individual, relational, community, and societal levels</w:t>
      </w:r>
    </w:p>
    <w:p w14:paraId="7710E326" w14:textId="77777777" w:rsidR="00886009" w:rsidRPr="0009687E" w:rsidRDefault="00886009" w:rsidP="00886009">
      <w:pPr>
        <w:numPr>
          <w:ilvl w:val="0"/>
          <w:numId w:val="3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Identifying common factors and processes that contribute to resilience across different contexts</w:t>
      </w:r>
    </w:p>
    <w:p w14:paraId="5DE71A52" w14:textId="77777777" w:rsidR="00886009" w:rsidRPr="0009687E" w:rsidRDefault="00886009" w:rsidP="00886009">
      <w:pPr>
        <w:numPr>
          <w:ilvl w:val="0"/>
          <w:numId w:val="3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Case studies and examples illustrating resilience in action</w:t>
      </w:r>
    </w:p>
    <w:p w14:paraId="05E99CD3"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Session 3: Applications of URT in Practice</w:t>
      </w:r>
    </w:p>
    <w:p w14:paraId="6E3206BE" w14:textId="77777777" w:rsidR="00886009" w:rsidRPr="0009687E" w:rsidRDefault="00886009" w:rsidP="00886009">
      <w:pPr>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Practical implications of URT for various fields: Psychology, education, healthcare, business, social services, etc.</w:t>
      </w:r>
    </w:p>
    <w:p w14:paraId="10399ACA" w14:textId="77777777" w:rsidR="00886009" w:rsidRPr="0009687E" w:rsidRDefault="00886009" w:rsidP="00886009">
      <w:pPr>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Integrating URT principles into existing programs and interventions</w:t>
      </w:r>
    </w:p>
    <w:p w14:paraId="0CF4034A" w14:textId="77777777" w:rsidR="00886009" w:rsidRPr="0009687E" w:rsidRDefault="00886009" w:rsidP="00886009">
      <w:pPr>
        <w:numPr>
          <w:ilvl w:val="0"/>
          <w:numId w:val="4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Group discussions and brainstorming: Identifying opportunities for applying URT in participants' work settings</w:t>
      </w:r>
    </w:p>
    <w:p w14:paraId="082EE170"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Day 2:</w:t>
      </w:r>
    </w:p>
    <w:p w14:paraId="098B37F8"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Session 4: Assessing Resilience Using URT Frameworks</w:t>
      </w:r>
    </w:p>
    <w:p w14:paraId="3CEED400" w14:textId="77777777" w:rsidR="00886009" w:rsidRPr="0009687E" w:rsidRDefault="00886009" w:rsidP="00886009">
      <w:pPr>
        <w:numPr>
          <w:ilvl w:val="0"/>
          <w:numId w:val="4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Overview of assessment tools and measures aligned with URT principles</w:t>
      </w:r>
    </w:p>
    <w:p w14:paraId="3147D29A" w14:textId="77777777" w:rsidR="00886009" w:rsidRPr="0009687E" w:rsidRDefault="00886009" w:rsidP="00886009">
      <w:pPr>
        <w:numPr>
          <w:ilvl w:val="0"/>
          <w:numId w:val="4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Conducting resilience assessments: Understanding strengths, challenges, and growth areas</w:t>
      </w:r>
    </w:p>
    <w:p w14:paraId="2B67262E" w14:textId="77777777" w:rsidR="00886009" w:rsidRPr="0009687E" w:rsidRDefault="00886009" w:rsidP="00886009">
      <w:pPr>
        <w:numPr>
          <w:ilvl w:val="0"/>
          <w:numId w:val="4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Interpretation of assessment results and implications for intervention planning</w:t>
      </w:r>
    </w:p>
    <w:p w14:paraId="2F306A16"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Session 5: Building Resilience Through URT-Informed Interventions</w:t>
      </w:r>
    </w:p>
    <w:p w14:paraId="6F628A62" w14:textId="77777777" w:rsidR="00886009" w:rsidRPr="0009687E" w:rsidRDefault="00886009" w:rsidP="00886009">
      <w:pPr>
        <w:numPr>
          <w:ilvl w:val="0"/>
          <w:numId w:val="4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Designing and implementing resilience-focused interventions using URT frameworks</w:t>
      </w:r>
    </w:p>
    <w:p w14:paraId="3263BAE1" w14:textId="77777777" w:rsidR="00886009" w:rsidRPr="0009687E" w:rsidRDefault="00886009" w:rsidP="00886009">
      <w:pPr>
        <w:numPr>
          <w:ilvl w:val="0"/>
          <w:numId w:val="4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Strategies for fostering resilience at individual, relational, and community levels</w:t>
      </w:r>
    </w:p>
    <w:p w14:paraId="37050528" w14:textId="77777777" w:rsidR="00886009" w:rsidRPr="0009687E" w:rsidRDefault="00886009" w:rsidP="00886009">
      <w:pPr>
        <w:numPr>
          <w:ilvl w:val="0"/>
          <w:numId w:val="4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Case studies and role-playing exercises: Practicing intervention planning and implementation</w:t>
      </w:r>
    </w:p>
    <w:p w14:paraId="56A3AAF1"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Session 6: Monitoring and Evaluating Resilience Programs</w:t>
      </w:r>
    </w:p>
    <w:p w14:paraId="5FE1D077" w14:textId="77777777" w:rsidR="00886009" w:rsidRPr="0009687E" w:rsidRDefault="00886009" w:rsidP="00886009">
      <w:pPr>
        <w:numPr>
          <w:ilvl w:val="0"/>
          <w:numId w:val="4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Developing evaluation frameworks to assess the effectiveness of resilience interventions</w:t>
      </w:r>
    </w:p>
    <w:p w14:paraId="75075B2A" w14:textId="77777777" w:rsidR="00886009" w:rsidRPr="0009687E" w:rsidRDefault="00886009" w:rsidP="00886009">
      <w:pPr>
        <w:numPr>
          <w:ilvl w:val="0"/>
          <w:numId w:val="4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Collecting and analyzing data to measure outcomes and impact</w:t>
      </w:r>
    </w:p>
    <w:p w14:paraId="364156B7" w14:textId="77777777" w:rsidR="00886009" w:rsidRPr="0009687E" w:rsidRDefault="00886009" w:rsidP="00886009">
      <w:pPr>
        <w:numPr>
          <w:ilvl w:val="0"/>
          <w:numId w:val="4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Utilizing feedback and findings to refine and improve resilience programs over time</w:t>
      </w:r>
    </w:p>
    <w:p w14:paraId="03A87916"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Session 7: Ethical Considerations and Sustainability</w:t>
      </w:r>
    </w:p>
    <w:p w14:paraId="7139E2DB" w14:textId="77777777" w:rsidR="00886009" w:rsidRPr="0009687E" w:rsidRDefault="00886009" w:rsidP="00886009">
      <w:pPr>
        <w:numPr>
          <w:ilvl w:val="0"/>
          <w:numId w:val="4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Ethical guidelines for working with resilience and vulnerable populations</w:t>
      </w:r>
    </w:p>
    <w:p w14:paraId="54C0EFA8" w14:textId="77777777" w:rsidR="00886009" w:rsidRPr="0009687E" w:rsidRDefault="00886009" w:rsidP="00886009">
      <w:pPr>
        <w:numPr>
          <w:ilvl w:val="0"/>
          <w:numId w:val="4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Ensuring cultural sensitivity and inclusivity in resilience interventions</w:t>
      </w:r>
    </w:p>
    <w:p w14:paraId="08B6E2DE" w14:textId="77777777" w:rsidR="00886009" w:rsidRPr="0009687E" w:rsidRDefault="00886009" w:rsidP="00886009">
      <w:pPr>
        <w:numPr>
          <w:ilvl w:val="0"/>
          <w:numId w:val="4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Strategies for sustaining resilience initiatives and fostering long-term impact</w:t>
      </w:r>
    </w:p>
    <w:p w14:paraId="6B2A022A"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Conclusion:</w:t>
      </w:r>
    </w:p>
    <w:p w14:paraId="45A1E2D8" w14:textId="77777777" w:rsidR="00886009" w:rsidRPr="0009687E" w:rsidRDefault="00886009" w:rsidP="00886009">
      <w:pPr>
        <w:numPr>
          <w:ilvl w:val="0"/>
          <w:numId w:val="4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Recap of key learnings and takeaways from the workshop</w:t>
      </w:r>
    </w:p>
    <w:p w14:paraId="6E884D5C" w14:textId="77777777" w:rsidR="00886009" w:rsidRPr="0009687E" w:rsidRDefault="00886009" w:rsidP="00886009">
      <w:pPr>
        <w:numPr>
          <w:ilvl w:val="0"/>
          <w:numId w:val="4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Action planning: Setting goals and next steps for integrating URT principles into participants' professional practice</w:t>
      </w:r>
    </w:p>
    <w:p w14:paraId="7E0CBAE7" w14:textId="77777777" w:rsidR="00886009" w:rsidRPr="0009687E" w:rsidRDefault="00886009" w:rsidP="00886009">
      <w:pPr>
        <w:numPr>
          <w:ilvl w:val="0"/>
          <w:numId w:val="4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Closing remarks and certificates of completion</w:t>
      </w:r>
    </w:p>
    <w:p w14:paraId="496B331E"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heme="majorHAnsi" w:eastAsia="Times New Roman" w:hAnsiTheme="majorHAnsi" w:cs="Segoe UI"/>
          <w:bCs/>
          <w:color w:val="0D0D0D"/>
          <w:kern w:val="0"/>
          <w:sz w:val="24"/>
          <w:szCs w:val="24"/>
          <w14:ligatures w14:val="none"/>
        </w:rPr>
      </w:pPr>
      <w:r w:rsidRPr="0009687E">
        <w:rPr>
          <w:rFonts w:asciiTheme="majorHAnsi" w:eastAsia="Times New Roman" w:hAnsiTheme="majorHAnsi" w:cs="Segoe UI"/>
          <w:bCs/>
          <w:color w:val="0D0D0D"/>
          <w:kern w:val="0"/>
          <w:sz w:val="24"/>
          <w:szCs w:val="24"/>
          <w14:ligatures w14:val="none"/>
        </w:rPr>
        <w:t>Note: The training workshop can be customized and adapted to suit the specific needs and interests of participants, and additional sessions or topics can be included based on organizational requirements.</w:t>
      </w:r>
    </w:p>
    <w:p w14:paraId="3094E1D6"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Theme="majorHAnsi" w:eastAsia="Times New Roman" w:hAnsiTheme="majorHAnsi" w:cs="Segoe UI"/>
          <w:bCs/>
          <w:color w:val="0D0D0D"/>
          <w:kern w:val="0"/>
          <w:sz w:val="24"/>
          <w:szCs w:val="24"/>
          <w14:ligatures w14:val="none"/>
        </w:rPr>
      </w:pPr>
    </w:p>
    <w:p w14:paraId="120EF070" w14:textId="77777777" w:rsidR="00886009" w:rsidRPr="0009687E" w:rsidRDefault="00886009" w:rsidP="00886009">
      <w:pPr>
        <w:pStyle w:val="Heading1"/>
        <w:rPr>
          <w:bCs/>
          <w:sz w:val="24"/>
          <w:szCs w:val="24"/>
        </w:rPr>
      </w:pPr>
      <w:bookmarkStart w:id="46" w:name="_Toc168210201"/>
      <w:bookmarkStart w:id="47" w:name="_Toc168210357"/>
      <w:r w:rsidRPr="0009687E">
        <w:rPr>
          <w:bCs/>
          <w:sz w:val="24"/>
          <w:szCs w:val="24"/>
        </w:rPr>
        <w:t>Key words</w:t>
      </w:r>
      <w:bookmarkEnd w:id="46"/>
      <w:bookmarkEnd w:id="47"/>
    </w:p>
    <w:p w14:paraId="622AB3A8" w14:textId="77777777" w:rsidR="00886009" w:rsidRPr="0009687E" w:rsidRDefault="00886009" w:rsidP="00886009">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proofErr w:type="gramStart"/>
      <w:r w:rsidRPr="0009687E">
        <w:rPr>
          <w:rFonts w:asciiTheme="majorHAnsi" w:eastAsia="Times New Roman" w:hAnsiTheme="majorHAnsi" w:cs="Segoe UI"/>
          <w:bCs/>
          <w:color w:val="0D0D0D"/>
          <w:kern w:val="0"/>
          <w:sz w:val="24"/>
          <w:szCs w:val="24"/>
          <w14:ligatures w14:val="none"/>
        </w:rPr>
        <w:t>Resilience,Theory</w:t>
      </w:r>
      <w:proofErr w:type="gramEnd"/>
      <w:r w:rsidRPr="0009687E">
        <w:rPr>
          <w:rFonts w:asciiTheme="majorHAnsi" w:eastAsia="Times New Roman" w:hAnsiTheme="majorHAnsi" w:cs="Segoe UI"/>
          <w:bCs/>
          <w:color w:val="0D0D0D"/>
          <w:kern w:val="0"/>
          <w:sz w:val="24"/>
          <w:szCs w:val="24"/>
          <w14:ligatures w14:val="none"/>
        </w:rPr>
        <w:t>,Framework,Adaptability,Well-being,Diversity,Inclusivity,Empowerment,Adversity,Transformation</w:t>
      </w:r>
    </w:p>
    <w:p w14:paraId="719CF0DF" w14:textId="77777777" w:rsidR="005F382D" w:rsidRPr="0009687E" w:rsidRDefault="005F382D" w:rsidP="00886009">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p>
    <w:p w14:paraId="7A94155C" w14:textId="77777777" w:rsidR="00BC6C81" w:rsidRDefault="00BC6C81" w:rsidP="00BC6C81">
      <w:pPr>
        <w:pBdr>
          <w:bottom w:val="single" w:sz="12" w:space="1" w:color="auto"/>
        </w:pBdr>
        <w:ind w:right="3"/>
        <w:rPr>
          <w:rFonts w:asciiTheme="majorHAnsi" w:hAnsiTheme="majorHAnsi"/>
          <w:bCs/>
          <w:sz w:val="24"/>
          <w:szCs w:val="24"/>
        </w:rPr>
      </w:pPr>
    </w:p>
    <w:p w14:paraId="2796E7DC" w14:textId="77777777" w:rsidR="00BC6C81" w:rsidRDefault="00BC6C81" w:rsidP="00BC6C81">
      <w:pPr>
        <w:ind w:right="3"/>
        <w:rPr>
          <w:rFonts w:asciiTheme="majorHAnsi" w:hAnsiTheme="majorHAnsi"/>
          <w:bCs/>
          <w:sz w:val="24"/>
          <w:szCs w:val="24"/>
        </w:rPr>
      </w:pPr>
    </w:p>
    <w:p w14:paraId="56A6C427" w14:textId="1540F1E0" w:rsidR="000D4A65" w:rsidRDefault="000D4A65" w:rsidP="00BC6C81">
      <w:pPr>
        <w:pStyle w:val="Heading1"/>
        <w:rPr>
          <w:rFonts w:eastAsia="Times New Roman"/>
          <w:b/>
          <w:bCs/>
          <w:sz w:val="24"/>
          <w:szCs w:val="24"/>
        </w:rPr>
      </w:pPr>
      <w:bookmarkStart w:id="48" w:name="_Toc168210202"/>
      <w:bookmarkStart w:id="49" w:name="_Toc168210358"/>
      <w:r w:rsidRPr="00BC6C81">
        <w:rPr>
          <w:b/>
          <w:bCs/>
          <w:sz w:val="24"/>
          <w:szCs w:val="24"/>
        </w:rPr>
        <w:t>Dynamic Value Networks (DVN)</w:t>
      </w:r>
      <w:bookmarkEnd w:id="48"/>
      <w:bookmarkEnd w:id="49"/>
      <w:r w:rsidRPr="00BC6C81">
        <w:rPr>
          <w:rFonts w:eastAsia="Times New Roman"/>
          <w:b/>
          <w:bCs/>
          <w:sz w:val="24"/>
          <w:szCs w:val="24"/>
        </w:rPr>
        <w:t xml:space="preserve"> </w:t>
      </w:r>
    </w:p>
    <w:p w14:paraId="3BEBC4B6" w14:textId="77777777" w:rsidR="00152CD9" w:rsidRPr="00152CD9" w:rsidRDefault="00152CD9" w:rsidP="00152CD9"/>
    <w:p w14:paraId="36315CD8" w14:textId="5D68E68C" w:rsidR="00684B9C" w:rsidRPr="00684B9C" w:rsidRDefault="00E03C56" w:rsidP="00684B9C">
      <w:r>
        <w:rPr>
          <w:noProof/>
        </w:rPr>
        <w:drawing>
          <wp:inline distT="0" distB="0" distL="0" distR="0" wp14:anchorId="238232FA" wp14:editId="579B77EB">
            <wp:extent cx="6101080" cy="1302327"/>
            <wp:effectExtent l="0" t="0" r="0" b="0"/>
            <wp:docPr id="1402569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2257" cy="1315386"/>
                    </a:xfrm>
                    <a:prstGeom prst="rect">
                      <a:avLst/>
                    </a:prstGeom>
                    <a:noFill/>
                  </pic:spPr>
                </pic:pic>
              </a:graphicData>
            </a:graphic>
          </wp:inline>
        </w:drawing>
      </w:r>
    </w:p>
    <w:p w14:paraId="1DDE8A42" w14:textId="77777777" w:rsidR="000D4A65" w:rsidRPr="0009687E" w:rsidRDefault="000D4A65" w:rsidP="000D4A65">
      <w:pPr>
        <w:pStyle w:val="Heading1"/>
        <w:ind w:left="-5"/>
        <w:rPr>
          <w:bCs/>
          <w:sz w:val="24"/>
          <w:szCs w:val="24"/>
        </w:rPr>
      </w:pPr>
      <w:bookmarkStart w:id="50" w:name="_Toc168210203"/>
      <w:bookmarkStart w:id="51" w:name="_Toc168210359"/>
      <w:bookmarkStart w:id="52" w:name="_Toc44612"/>
      <w:r w:rsidRPr="0009687E">
        <w:rPr>
          <w:bCs/>
          <w:sz w:val="24"/>
          <w:szCs w:val="24"/>
        </w:rPr>
        <w:t>Abstract:</w:t>
      </w:r>
      <w:bookmarkEnd w:id="50"/>
      <w:bookmarkEnd w:id="51"/>
      <w:r w:rsidRPr="0009687E">
        <w:rPr>
          <w:bCs/>
          <w:sz w:val="24"/>
          <w:szCs w:val="24"/>
        </w:rPr>
        <w:t xml:space="preserve"> </w:t>
      </w:r>
      <w:r w:rsidRPr="0009687E">
        <w:rPr>
          <w:rFonts w:eastAsia="Times New Roman" w:cs="Times New Roman"/>
          <w:bCs/>
          <w:sz w:val="24"/>
          <w:szCs w:val="24"/>
        </w:rPr>
        <w:t xml:space="preserve"> </w:t>
      </w:r>
      <w:bookmarkEnd w:id="52"/>
    </w:p>
    <w:p w14:paraId="7D6AD19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Dynamic Value Networks (DVNs) are a paradigm shift in the contemporary business landscape, embodying interconnected ecosystems of stakeholders collaborating to create, exchange, and capture value in today's networked economy. This theory aims to provide a comprehensive understanding of DVNs, elucidating the principles and strategies necessary to leverage them effectively for driving innovation and sustainable value creation. By exploring the evolution of value networks, principles of network orchestration, co-creation and innovation, value capture and distribution, ecosystem strategy, and the role of digital transformation and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organizations can navigate the complexities of DVNs and harness their full potential.</w:t>
      </w:r>
      <w:r w:rsidRPr="0009687E">
        <w:rPr>
          <w:rFonts w:asciiTheme="majorHAnsi" w:eastAsia="Times New Roman" w:hAnsiTheme="majorHAnsi" w:cs="Times New Roman"/>
          <w:bCs/>
          <w:sz w:val="24"/>
          <w:szCs w:val="24"/>
        </w:rPr>
        <w:t xml:space="preserve"> </w:t>
      </w:r>
    </w:p>
    <w:p w14:paraId="05F6FF2C"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The evolution of value networks reflects broader trends in digitalization, globalization, and the emergence of platform-based business models. Traditional linear value chains have given way to more interconnected and collaborative ecosystems, driven by advances in technology and changing market dynamics. DVNs emphasize agility, flexibility, and responsiveness, enabling stakeholders to adapt and innovate in the face of uncertainty and change. By understanding the evolution of value networks, organizations can position themselves strategically within DVNs and capitalize on emerging opportunities for collaboration and value creation.</w:t>
      </w:r>
      <w:r w:rsidRPr="0009687E">
        <w:rPr>
          <w:rFonts w:asciiTheme="majorHAnsi" w:eastAsia="Times New Roman" w:hAnsiTheme="majorHAnsi" w:cs="Times New Roman"/>
          <w:bCs/>
          <w:sz w:val="24"/>
          <w:szCs w:val="24"/>
        </w:rPr>
        <w:t xml:space="preserve"> </w:t>
      </w:r>
    </w:p>
    <w:p w14:paraId="6FA7FDB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Network orchestration plays a critical role in enabling collaboration, coordination, and value creation within DVNs. Effective network orchestration involves building trust, aligning incentives, and resolving conflicts to facilitate seamless interaction and collaboration among network participants. By adopting a proactive and strategic approach to network orchestration, organizations can maximize the efficiency and effectiveness of DVNs, driving innovation and competitive advantage.</w:t>
      </w:r>
      <w:r w:rsidRPr="0009687E">
        <w:rPr>
          <w:rFonts w:asciiTheme="majorHAnsi" w:eastAsia="Times New Roman" w:hAnsiTheme="majorHAnsi" w:cs="Times New Roman"/>
          <w:bCs/>
          <w:sz w:val="24"/>
          <w:szCs w:val="24"/>
        </w:rPr>
        <w:t xml:space="preserve"> </w:t>
      </w:r>
    </w:p>
    <w:p w14:paraId="1ABE5C2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Co-creation and innovation are fundamental principles of DVNs, enabling stakeholders to collaborate on the development of new products, services, and solutions. DVNs leverage open innovation platforms, crowdsourcing, and collaborative R&amp;D initiatives to harness the collective intelligence and creativity of diverse stakeholders. By fostering a culture of collaboration, experimentation, and continuous learning, organizations can unlock new opportunities for innovation and value creation within DVNs.</w:t>
      </w:r>
      <w:r w:rsidRPr="0009687E">
        <w:rPr>
          <w:rFonts w:asciiTheme="majorHAnsi" w:eastAsia="Times New Roman" w:hAnsiTheme="majorHAnsi" w:cs="Times New Roman"/>
          <w:bCs/>
          <w:sz w:val="24"/>
          <w:szCs w:val="24"/>
        </w:rPr>
        <w:t xml:space="preserve"> </w:t>
      </w:r>
    </w:p>
    <w:p w14:paraId="13E2475F"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Value capture and distribution are essential components of DVNs, ensuring that stakeholders receive fair and equitable rewards for their contributions. Mechanisms for capturing and distributing value within DVNs include revenue-sharing models, value-based pricing, and governance mechanisms for ensuring fairness and transparency. By implementing robust value capture and distribution strategies, organizations can incentivize collaboration and ensure the long-term sustainability of DVNs.</w:t>
      </w:r>
      <w:r w:rsidRPr="0009687E">
        <w:rPr>
          <w:rFonts w:asciiTheme="majorHAnsi" w:eastAsia="Times New Roman" w:hAnsiTheme="majorHAnsi" w:cs="Times New Roman"/>
          <w:bCs/>
          <w:sz w:val="24"/>
          <w:szCs w:val="24"/>
        </w:rPr>
        <w:t xml:space="preserve"> </w:t>
      </w:r>
    </w:p>
    <w:p w14:paraId="6AD8BD02"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Ecosystem strategy is central to leveraging DVNs effectively, emphasizing ecosystem leadership,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xml:space="preserve">, and governance to maximize value creation and capture. Ecosystem leaders play a crucial role in setting the vision, agenda, and standards for collaboration within DVNs, guiding stakeholders towards shared goals and outcomes.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xml:space="preserve"> enables organizations to scale and harness the full potential of DVNs, leveraging digital technologies and platforms to facilitate collaboration, innovation, and value exchange. By adopting an ecosystem-centric approach to strategy and governance, organizations can position themselves as leaders within DVNs and drive sustainable growth and value creation.</w:t>
      </w:r>
      <w:r w:rsidRPr="0009687E">
        <w:rPr>
          <w:rFonts w:asciiTheme="majorHAnsi" w:eastAsia="Times New Roman" w:hAnsiTheme="majorHAnsi" w:cs="Times New Roman"/>
          <w:bCs/>
          <w:sz w:val="24"/>
          <w:szCs w:val="24"/>
        </w:rPr>
        <w:t xml:space="preserve"> </w:t>
      </w:r>
    </w:p>
    <w:p w14:paraId="17D7EA18"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Digital transformation is a key enabler of DVNs, providing the technological infrastructure and capabilities to facilitate collaboration, scalability, and value exchange. Digital platforms serve as central hubs for interaction, communication, and transactions within DVNs, allowing stakeholders to connect, collaborate, and co-create value in real-time. By leveraging digital technologies such as cloud computing, artificial intelligence, and blockchain, organizations can enhance the efficiency, effectiveness, and agility of DVNs, driving innovation and competitive advantage.</w:t>
      </w:r>
      <w:r w:rsidRPr="0009687E">
        <w:rPr>
          <w:rFonts w:asciiTheme="majorHAnsi" w:eastAsia="Times New Roman" w:hAnsiTheme="majorHAnsi" w:cs="Times New Roman"/>
          <w:bCs/>
          <w:sz w:val="24"/>
          <w:szCs w:val="24"/>
        </w:rPr>
        <w:t xml:space="preserve"> </w:t>
      </w:r>
    </w:p>
    <w:p w14:paraId="513C51A4" w14:textId="77777777" w:rsidR="000D4A65" w:rsidRPr="0009687E" w:rsidRDefault="000D4A65" w:rsidP="000D4A65">
      <w:pPr>
        <w:spacing w:after="354"/>
        <w:ind w:left="-5" w:right="3"/>
        <w:rPr>
          <w:rFonts w:asciiTheme="majorHAnsi" w:hAnsiTheme="majorHAnsi"/>
          <w:bCs/>
          <w:sz w:val="24"/>
          <w:szCs w:val="24"/>
        </w:rPr>
      </w:pPr>
      <w:r w:rsidRPr="0009687E">
        <w:rPr>
          <w:rFonts w:asciiTheme="majorHAnsi" w:hAnsiTheme="majorHAnsi"/>
          <w:bCs/>
          <w:sz w:val="24"/>
          <w:szCs w:val="24"/>
        </w:rPr>
        <w:t>In conclusion, Dynamic Value Networks (DVNs) represent a transformative force in the contemporary business landscape, enabling stakeholders to collaborate, innovate, and create value in today's networked economy. By understanding the principles and strategies for leveraging DVNs effectively, organizations can navigate the complexities of the digital age and drive sustainable growth and value creation. Through proactive network orchestration, collaborative co-creation, and strategic ecosystem leadership, organizations can harness the full potential of DVNs and emerge as leaders in their industries.</w:t>
      </w:r>
      <w:r w:rsidRPr="0009687E">
        <w:rPr>
          <w:rFonts w:asciiTheme="majorHAnsi" w:eastAsia="Times New Roman" w:hAnsiTheme="majorHAnsi" w:cs="Times New Roman"/>
          <w:bCs/>
          <w:sz w:val="24"/>
          <w:szCs w:val="24"/>
        </w:rPr>
        <w:t xml:space="preserve"> </w:t>
      </w:r>
    </w:p>
    <w:p w14:paraId="1214DFE4" w14:textId="77777777" w:rsidR="000D4A65" w:rsidRPr="0009687E" w:rsidRDefault="000D4A65" w:rsidP="000D4A65">
      <w:pPr>
        <w:pStyle w:val="Heading1"/>
        <w:ind w:left="-5"/>
        <w:rPr>
          <w:bCs/>
          <w:sz w:val="24"/>
          <w:szCs w:val="24"/>
        </w:rPr>
      </w:pPr>
      <w:bookmarkStart w:id="53" w:name="_Toc168210204"/>
      <w:bookmarkStart w:id="54" w:name="_Toc168210360"/>
      <w:bookmarkStart w:id="55" w:name="_Toc44613"/>
      <w:r w:rsidRPr="0009687E">
        <w:rPr>
          <w:bCs/>
          <w:sz w:val="24"/>
          <w:szCs w:val="24"/>
        </w:rPr>
        <w:t>Introduction:</w:t>
      </w:r>
      <w:bookmarkEnd w:id="53"/>
      <w:bookmarkEnd w:id="54"/>
      <w:r w:rsidRPr="0009687E">
        <w:rPr>
          <w:bCs/>
          <w:sz w:val="24"/>
          <w:szCs w:val="24"/>
        </w:rPr>
        <w:t xml:space="preserve"> </w:t>
      </w:r>
      <w:r w:rsidRPr="0009687E">
        <w:rPr>
          <w:rFonts w:eastAsia="Times New Roman" w:cs="Times New Roman"/>
          <w:bCs/>
          <w:sz w:val="24"/>
          <w:szCs w:val="24"/>
        </w:rPr>
        <w:t xml:space="preserve"> </w:t>
      </w:r>
      <w:bookmarkEnd w:id="55"/>
    </w:p>
    <w:p w14:paraId="45DDE31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The emergence of the Dynamic Value Networks (DVNs) theory signifies a paradigm shift in contemporary business environments, emphasizing the significance of interconnected relationships among stakeholders in the networked economy. In today's complex and rapidly evolving business landscape, organizations are increasingly recognizing the importance of understanding and leveraging DVNs to drive innovation and create sustainable value. This theory aims to introduce DVNs as a fundamental concept in business management and strategy, shedding light on their evolution, characteristics, and implications for organizations seeking to thrive in the digital age.</w:t>
      </w:r>
      <w:r w:rsidRPr="0009687E">
        <w:rPr>
          <w:rFonts w:asciiTheme="majorHAnsi" w:eastAsia="Times New Roman" w:hAnsiTheme="majorHAnsi" w:cs="Times New Roman"/>
          <w:bCs/>
          <w:sz w:val="24"/>
          <w:szCs w:val="24"/>
        </w:rPr>
        <w:t xml:space="preserve"> </w:t>
      </w:r>
    </w:p>
    <w:p w14:paraId="6C5E3BE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At its core, DVNs represent a departure from traditional linear value chains, which are characterized by sequential and often rigid processes. Unlike value chains, which focus on the linear flow of goods and services from suppliers to customers, DVNs emphasize collaboration, co-creation, and value exchange among diverse stakeholders. In DVNs, value creation is not confined within the boundaries of individual organizations but extends across interconnected networks of suppliers, partners, customers, and other stakeholders. This interconnectedness fosters agility, resilience, and innovation, enabling organizations to adapt and respond effectively to changing market conditions and customer needs.</w:t>
      </w:r>
      <w:r w:rsidRPr="0009687E">
        <w:rPr>
          <w:rFonts w:asciiTheme="majorHAnsi" w:eastAsia="Times New Roman" w:hAnsiTheme="majorHAnsi" w:cs="Times New Roman"/>
          <w:bCs/>
          <w:sz w:val="24"/>
          <w:szCs w:val="24"/>
        </w:rPr>
        <w:t xml:space="preserve"> </w:t>
      </w:r>
    </w:p>
    <w:p w14:paraId="762CF67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The evolution of DVNs can be traced back to various macroeconomic and technological trends that have reshaped the business landscape in recent decades. The advent of digitalization, globalization, and the rise of platform-based business models has accelerated the transformation of traditional value chains into dynamic and interconnected ecosystems. Digital technologies such as cloud computing, artificial intelligence, and blockchain have played a pivotal role in enabling seamless connectivity, collaboration, and value exchange within DVNs. As a result, organizations are increasingly leveraging DVNs to enhance their competitiveness, drive innovation, and create new sources of value in the networked economy.</w:t>
      </w:r>
      <w:r w:rsidRPr="0009687E">
        <w:rPr>
          <w:rFonts w:asciiTheme="majorHAnsi" w:eastAsia="Times New Roman" w:hAnsiTheme="majorHAnsi" w:cs="Times New Roman"/>
          <w:bCs/>
          <w:sz w:val="24"/>
          <w:szCs w:val="24"/>
        </w:rPr>
        <w:t xml:space="preserve"> </w:t>
      </w:r>
    </w:p>
    <w:p w14:paraId="35F91711"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Characteristics of DVNs include their dynamic and adaptive nature, emphasizing agility, flexibility, and responsiveness to changing market conditions. Unlike traditional value chains, which are often characterized by static and hierarchical structures, DVNs are fluid and decentralized, allowing for decentralized decision-making and rapid experimentation. This flexibility enables organizations to quickly adapt to emerging opportunities and challenges, fostering a culture of innovation and continuous improvement within DVNs.</w:t>
      </w:r>
      <w:r w:rsidRPr="0009687E">
        <w:rPr>
          <w:rFonts w:asciiTheme="majorHAnsi" w:eastAsia="Times New Roman" w:hAnsiTheme="majorHAnsi" w:cs="Times New Roman"/>
          <w:bCs/>
          <w:sz w:val="24"/>
          <w:szCs w:val="24"/>
        </w:rPr>
        <w:t xml:space="preserve"> </w:t>
      </w:r>
    </w:p>
    <w:p w14:paraId="2FF6B22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Implications of DVNs for business management and strategy are profound, requiring organizations to rethink traditional approaches to value creation and competitive advantage. In DVNs, competitive advantage is no longer solely derived from internal capabilities or resources but increasingly from the ability to orchestrate and leverage external networks of stakeholders. Effective management of DVNs requires a shift from a command-and-control mindset to one that emphasizes collaboration, trust-building, and value co-creation among network participants. Organizations must adopt agile governance structures, open innovation platforms, and ecosystem-centric strategies to navigate the complexities of DVNs successfully.</w:t>
      </w:r>
      <w:r w:rsidRPr="0009687E">
        <w:rPr>
          <w:rFonts w:asciiTheme="majorHAnsi" w:eastAsia="Times New Roman" w:hAnsiTheme="majorHAnsi" w:cs="Times New Roman"/>
          <w:bCs/>
          <w:sz w:val="24"/>
          <w:szCs w:val="24"/>
        </w:rPr>
        <w:t xml:space="preserve"> </w:t>
      </w:r>
    </w:p>
    <w:p w14:paraId="261E61BC"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The significance of DVNs extends beyond individual organizations to entire industries and ecosystems, where interconnected networks of stakeholders collaborate to drive collective value creation and innovation. In industries such as healthcare, finance, and manufacturing, DVNs are transforming traditional business models and reshaping industry dynamics. For example, in healthcare, DVNs enable seamless collaboration among healthcare providers, insurers, and technology companies to improve patient outcomes and reduce costs. In finance, DVNs facilitate peer-to-peer lending, crowdfunding, and digital payments, democratizing access to financial services and fostering financial inclusion. In manufacturing, DVNs enable supply chain transparency, traceability, and sustainability, empowering consumers to make informed choices about the products they purchase.</w:t>
      </w:r>
      <w:r w:rsidRPr="0009687E">
        <w:rPr>
          <w:rFonts w:asciiTheme="majorHAnsi" w:eastAsia="Times New Roman" w:hAnsiTheme="majorHAnsi" w:cs="Times New Roman"/>
          <w:bCs/>
          <w:sz w:val="24"/>
          <w:szCs w:val="24"/>
        </w:rPr>
        <w:t xml:space="preserve"> </w:t>
      </w:r>
    </w:p>
    <w:p w14:paraId="769826A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In conclusion, the Dynamic Value Networks (DVNs) theory introduces a fundamental concept in contemporary business management and strategy, emphasizing the significance of interconnected relationships among stakeholders in the networked economy. By understanding the evolution, characteristics, and implications of DVNs, organizations can harness the full potential of interconnected networks to drive innovation, create sustainable value, and thrive in the digital age. Through collaborative leadership, agile governance, and ecosystem-centric strategies, organizations can navigate the complexities of DVNs and emerge as leaders in their industries.</w:t>
      </w:r>
      <w:r w:rsidRPr="0009687E">
        <w:rPr>
          <w:rFonts w:asciiTheme="majorHAnsi" w:eastAsia="Times New Roman" w:hAnsiTheme="majorHAnsi" w:cs="Times New Roman"/>
          <w:bCs/>
          <w:sz w:val="24"/>
          <w:szCs w:val="24"/>
        </w:rPr>
        <w:t xml:space="preserve"> </w:t>
      </w:r>
    </w:p>
    <w:p w14:paraId="46101888"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7289EC0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Dynamic Value Networks (DVNs):</w:t>
      </w:r>
      <w:r w:rsidRPr="0009687E">
        <w:rPr>
          <w:rFonts w:asciiTheme="majorHAnsi" w:eastAsia="Times New Roman" w:hAnsiTheme="majorHAnsi" w:cs="Times New Roman"/>
          <w:bCs/>
          <w:sz w:val="24"/>
          <w:szCs w:val="24"/>
        </w:rPr>
        <w:t xml:space="preserve"> </w:t>
      </w:r>
    </w:p>
    <w:p w14:paraId="303195F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Definition: Dynamic Value Networks are complex ecosystems of interconnected stakeholders, including customers, suppliers, partners, competitors, and regulators, collaborating to create, exchange, and capture value.</w:t>
      </w:r>
      <w:r w:rsidRPr="0009687E">
        <w:rPr>
          <w:rFonts w:asciiTheme="majorHAnsi" w:eastAsia="Times New Roman" w:hAnsiTheme="majorHAnsi" w:cs="Times New Roman"/>
          <w:bCs/>
          <w:sz w:val="24"/>
          <w:szCs w:val="24"/>
        </w:rPr>
        <w:t xml:space="preserve"> </w:t>
      </w:r>
    </w:p>
    <w:p w14:paraId="795356FB"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Characteristics: DVNs exhibit dynamism and adaptability, allowing for continuous evolution in response to changing market dynamics and technological advancements. They emphasize the importance of network effects, where the value of the network increases as more participants </w:t>
      </w:r>
      <w:proofErr w:type="gramStart"/>
      <w:r w:rsidRPr="0009687E">
        <w:rPr>
          <w:rFonts w:asciiTheme="majorHAnsi" w:hAnsiTheme="majorHAnsi"/>
          <w:bCs/>
          <w:sz w:val="24"/>
          <w:szCs w:val="24"/>
        </w:rPr>
        <w:t>join</w:t>
      </w:r>
      <w:proofErr w:type="gramEnd"/>
      <w:r w:rsidRPr="0009687E">
        <w:rPr>
          <w:rFonts w:asciiTheme="majorHAnsi" w:hAnsiTheme="majorHAnsi"/>
          <w:bCs/>
          <w:sz w:val="24"/>
          <w:szCs w:val="24"/>
        </w:rPr>
        <w:t>, and co-creation, where stakeholders collectively contribute to value generation.</w:t>
      </w:r>
      <w:r w:rsidRPr="0009687E">
        <w:rPr>
          <w:rFonts w:asciiTheme="majorHAnsi" w:eastAsia="Times New Roman" w:hAnsiTheme="majorHAnsi" w:cs="Times New Roman"/>
          <w:bCs/>
          <w:sz w:val="24"/>
          <w:szCs w:val="24"/>
        </w:rPr>
        <w:t xml:space="preserve"> </w:t>
      </w:r>
    </w:p>
    <w:p w14:paraId="0D3CE01C"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Evolution: The concept of DVNs has evolved from traditional linear value chains to more flexible and interconnected ecosystems, driven by factors such as digitalization, globalization, and the rise of platform-based business models.</w:t>
      </w:r>
      <w:r w:rsidRPr="0009687E">
        <w:rPr>
          <w:rFonts w:asciiTheme="majorHAnsi" w:eastAsia="Times New Roman" w:hAnsiTheme="majorHAnsi" w:cs="Times New Roman"/>
          <w:bCs/>
          <w:sz w:val="24"/>
          <w:szCs w:val="24"/>
        </w:rPr>
        <w:t xml:space="preserve"> </w:t>
      </w:r>
    </w:p>
    <w:p w14:paraId="736E4EA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Network Orchestration:</w:t>
      </w:r>
      <w:r w:rsidRPr="0009687E">
        <w:rPr>
          <w:rFonts w:asciiTheme="majorHAnsi" w:eastAsia="Times New Roman" w:hAnsiTheme="majorHAnsi" w:cs="Times New Roman"/>
          <w:bCs/>
          <w:sz w:val="24"/>
          <w:szCs w:val="24"/>
        </w:rPr>
        <w:t xml:space="preserve"> </w:t>
      </w:r>
    </w:p>
    <w:p w14:paraId="69CBB37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Definition: Network orchestration refers to the role of network orchestrators in managing and facilitating collaboration, coordination, and value creation within DVNs.</w:t>
      </w:r>
      <w:r w:rsidRPr="0009687E">
        <w:rPr>
          <w:rFonts w:asciiTheme="majorHAnsi" w:eastAsia="Times New Roman" w:hAnsiTheme="majorHAnsi" w:cs="Times New Roman"/>
          <w:bCs/>
          <w:sz w:val="24"/>
          <w:szCs w:val="24"/>
        </w:rPr>
        <w:t xml:space="preserve"> </w:t>
      </w:r>
    </w:p>
    <w:p w14:paraId="46B06D3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Components: Effective network orchestration involves building and maintaining trust among network participants, aligning incentives to encourage cooperation, and resolving conflicts or disagreements that may arise.</w:t>
      </w:r>
      <w:r w:rsidRPr="0009687E">
        <w:rPr>
          <w:rFonts w:asciiTheme="majorHAnsi" w:eastAsia="Times New Roman" w:hAnsiTheme="majorHAnsi" w:cs="Times New Roman"/>
          <w:bCs/>
          <w:sz w:val="24"/>
          <w:szCs w:val="24"/>
        </w:rPr>
        <w:t xml:space="preserve"> </w:t>
      </w:r>
    </w:p>
    <w:p w14:paraId="795B9FE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Importance: By orchestrating the interactions and relationships within DVNs, network orchestrators can maximize the efficiency and effectiveness of value creation activities, leading to enhanced innovation and competitive advantage.</w:t>
      </w:r>
      <w:r w:rsidRPr="0009687E">
        <w:rPr>
          <w:rFonts w:asciiTheme="majorHAnsi" w:eastAsia="Times New Roman" w:hAnsiTheme="majorHAnsi" w:cs="Times New Roman"/>
          <w:bCs/>
          <w:sz w:val="24"/>
          <w:szCs w:val="24"/>
        </w:rPr>
        <w:t xml:space="preserve"> </w:t>
      </w:r>
    </w:p>
    <w:p w14:paraId="4B12BD48"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Co-Creation and Innovation:</w:t>
      </w:r>
      <w:r w:rsidRPr="0009687E">
        <w:rPr>
          <w:rFonts w:asciiTheme="majorHAnsi" w:eastAsia="Times New Roman" w:hAnsiTheme="majorHAnsi" w:cs="Times New Roman"/>
          <w:bCs/>
          <w:sz w:val="24"/>
          <w:szCs w:val="24"/>
        </w:rPr>
        <w:t xml:space="preserve"> </w:t>
      </w:r>
    </w:p>
    <w:p w14:paraId="28F454F0"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Definition: Co-creation and innovation within DVNs involve the collaborative development of new products, services, and solutions among network participants.</w:t>
      </w:r>
      <w:r w:rsidRPr="0009687E">
        <w:rPr>
          <w:rFonts w:asciiTheme="majorHAnsi" w:eastAsia="Times New Roman" w:hAnsiTheme="majorHAnsi" w:cs="Times New Roman"/>
          <w:bCs/>
          <w:sz w:val="24"/>
          <w:szCs w:val="24"/>
        </w:rPr>
        <w:t xml:space="preserve"> </w:t>
      </w:r>
    </w:p>
    <w:p w14:paraId="406B569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Methods: This can occur through various methods such as open innovation platforms, where ideas are shared and developed collectively, crowdsourcing, where external stakeholders contribute ideas and feedback, and collaborative research and development initiatives.</w:t>
      </w:r>
      <w:r w:rsidRPr="0009687E">
        <w:rPr>
          <w:rFonts w:asciiTheme="majorHAnsi" w:eastAsia="Times New Roman" w:hAnsiTheme="majorHAnsi" w:cs="Times New Roman"/>
          <w:bCs/>
          <w:sz w:val="24"/>
          <w:szCs w:val="24"/>
        </w:rPr>
        <w:t xml:space="preserve"> </w:t>
      </w:r>
    </w:p>
    <w:p w14:paraId="70E61C7F"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Emphasis: DVNs emphasize diversity and inclusivity in the co-creation process, recognizing the value of different perspectives and expertise. Serendipity, or the unexpected discovery of valuable insights through interaction and collaboration, is also a key aspect of co-creation and innovation within DVNs.</w:t>
      </w:r>
      <w:r w:rsidRPr="0009687E">
        <w:rPr>
          <w:rFonts w:asciiTheme="majorHAnsi" w:eastAsia="Times New Roman" w:hAnsiTheme="majorHAnsi" w:cs="Times New Roman"/>
          <w:bCs/>
          <w:sz w:val="24"/>
          <w:szCs w:val="24"/>
        </w:rPr>
        <w:t xml:space="preserve"> </w:t>
      </w:r>
    </w:p>
    <w:p w14:paraId="46E02A1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Value Capture and Distribution:</w:t>
      </w:r>
      <w:r w:rsidRPr="0009687E">
        <w:rPr>
          <w:rFonts w:asciiTheme="majorHAnsi" w:eastAsia="Times New Roman" w:hAnsiTheme="majorHAnsi" w:cs="Times New Roman"/>
          <w:bCs/>
          <w:sz w:val="24"/>
          <w:szCs w:val="24"/>
        </w:rPr>
        <w:t xml:space="preserve"> </w:t>
      </w:r>
    </w:p>
    <w:p w14:paraId="20BAF126"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Definition: Value capture and distribution mechanisms within DVNs involve the processes by which value created within the network is captured and distributed among participating stakeholders.</w:t>
      </w:r>
      <w:r w:rsidRPr="0009687E">
        <w:rPr>
          <w:rFonts w:asciiTheme="majorHAnsi" w:eastAsia="Times New Roman" w:hAnsiTheme="majorHAnsi" w:cs="Times New Roman"/>
          <w:bCs/>
          <w:sz w:val="24"/>
          <w:szCs w:val="24"/>
        </w:rPr>
        <w:t xml:space="preserve"> </w:t>
      </w:r>
    </w:p>
    <w:p w14:paraId="3EC1F4E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Mechanisms: This may include revenue-sharing models, where profits are distributed among network participants based on their contributions, value-based pricing strategies that reflect the perceived value of products or services, and governance mechanisms that ensure fairness and transparency in value distribution.</w:t>
      </w:r>
      <w:r w:rsidRPr="0009687E">
        <w:rPr>
          <w:rFonts w:asciiTheme="majorHAnsi" w:eastAsia="Times New Roman" w:hAnsiTheme="majorHAnsi" w:cs="Times New Roman"/>
          <w:bCs/>
          <w:sz w:val="24"/>
          <w:szCs w:val="24"/>
        </w:rPr>
        <w:t xml:space="preserve"> </w:t>
      </w:r>
    </w:p>
    <w:p w14:paraId="31DD214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Importance: Ensuring equitable value capture and distribution is essential for maintaining trust and fostering continued collaboration within DVNs, ultimately contributing to the sustainability and resilience of the network.</w:t>
      </w:r>
      <w:r w:rsidRPr="0009687E">
        <w:rPr>
          <w:rFonts w:asciiTheme="majorHAnsi" w:eastAsia="Times New Roman" w:hAnsiTheme="majorHAnsi" w:cs="Times New Roman"/>
          <w:bCs/>
          <w:sz w:val="24"/>
          <w:szCs w:val="24"/>
        </w:rPr>
        <w:t xml:space="preserve"> </w:t>
      </w:r>
    </w:p>
    <w:p w14:paraId="0B53699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Ecosystem Strategy:</w:t>
      </w:r>
      <w:r w:rsidRPr="0009687E">
        <w:rPr>
          <w:rFonts w:asciiTheme="majorHAnsi" w:eastAsia="Times New Roman" w:hAnsiTheme="majorHAnsi" w:cs="Times New Roman"/>
          <w:bCs/>
          <w:sz w:val="24"/>
          <w:szCs w:val="24"/>
        </w:rPr>
        <w:t xml:space="preserve"> </w:t>
      </w:r>
    </w:p>
    <w:p w14:paraId="1A062E1B"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Definition: Ecosystem strategy involves adopting an ecosystem-centric approach to business strategy, where organizations focus on building and nurturing dynamic value networks to drive innovation and create sustainable value.</w:t>
      </w:r>
      <w:r w:rsidRPr="0009687E">
        <w:rPr>
          <w:rFonts w:asciiTheme="majorHAnsi" w:eastAsia="Times New Roman" w:hAnsiTheme="majorHAnsi" w:cs="Times New Roman"/>
          <w:bCs/>
          <w:sz w:val="24"/>
          <w:szCs w:val="24"/>
        </w:rPr>
        <w:t xml:space="preserve"> </w:t>
      </w:r>
    </w:p>
    <w:p w14:paraId="7A238564"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Elements: This strategy emphasizes ecosystem leadership, where organizations take proactive roles in shaping and governing DVNs,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where digital platforms are used to facilitate interaction and collaboration among network participants, and governance mechanisms that ensure fairness, transparency, and accountability.</w:t>
      </w:r>
      <w:r w:rsidRPr="0009687E">
        <w:rPr>
          <w:rFonts w:asciiTheme="majorHAnsi" w:eastAsia="Times New Roman" w:hAnsiTheme="majorHAnsi" w:cs="Times New Roman"/>
          <w:bCs/>
          <w:sz w:val="24"/>
          <w:szCs w:val="24"/>
        </w:rPr>
        <w:t xml:space="preserve"> </w:t>
      </w:r>
    </w:p>
    <w:p w14:paraId="3FC1476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Goals: The primary goals of ecosystem strategy are to maximize value creation and capture within DVNs, foster collaboration and innovation, and establish competitive differentiation in the market.</w:t>
      </w:r>
      <w:r w:rsidRPr="0009687E">
        <w:rPr>
          <w:rFonts w:asciiTheme="majorHAnsi" w:eastAsia="Times New Roman" w:hAnsiTheme="majorHAnsi" w:cs="Times New Roman"/>
          <w:bCs/>
          <w:sz w:val="24"/>
          <w:szCs w:val="24"/>
        </w:rPr>
        <w:t xml:space="preserve"> </w:t>
      </w:r>
    </w:p>
    <w:p w14:paraId="74DC76C1"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Digital Transformation and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w:t>
      </w:r>
      <w:r w:rsidRPr="0009687E">
        <w:rPr>
          <w:rFonts w:asciiTheme="majorHAnsi" w:eastAsia="Times New Roman" w:hAnsiTheme="majorHAnsi" w:cs="Times New Roman"/>
          <w:bCs/>
          <w:sz w:val="24"/>
          <w:szCs w:val="24"/>
        </w:rPr>
        <w:t xml:space="preserve"> </w:t>
      </w:r>
    </w:p>
    <w:p w14:paraId="48C4C97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Definition: Digital transformation and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xml:space="preserve"> involve leveraging digital technologies and platforms to enable and scale DVNs.</w:t>
      </w:r>
      <w:r w:rsidRPr="0009687E">
        <w:rPr>
          <w:rFonts w:asciiTheme="majorHAnsi" w:eastAsia="Times New Roman" w:hAnsiTheme="majorHAnsi" w:cs="Times New Roman"/>
          <w:bCs/>
          <w:sz w:val="24"/>
          <w:szCs w:val="24"/>
        </w:rPr>
        <w:t xml:space="preserve"> </w:t>
      </w:r>
    </w:p>
    <w:p w14:paraId="4072B88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Opportunities: Digital transformation offers opportunities for DVNs to harness network effects, achieve scalability, and derive actionable insights from data analytics.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xml:space="preserve"> enables the creation of digital platforms that serve as hubs for collaboration, innovation, and value exchange within the network.</w:t>
      </w:r>
      <w:r w:rsidRPr="0009687E">
        <w:rPr>
          <w:rFonts w:asciiTheme="majorHAnsi" w:eastAsia="Times New Roman" w:hAnsiTheme="majorHAnsi" w:cs="Times New Roman"/>
          <w:bCs/>
          <w:sz w:val="24"/>
          <w:szCs w:val="24"/>
        </w:rPr>
        <w:t xml:space="preserve"> </w:t>
      </w:r>
    </w:p>
    <w:p w14:paraId="0C1DA6AD" w14:textId="77777777" w:rsidR="000D4A65" w:rsidRPr="0009687E" w:rsidRDefault="000D4A65" w:rsidP="000D4A65">
      <w:pPr>
        <w:spacing w:after="351"/>
        <w:ind w:left="-5" w:right="3"/>
        <w:rPr>
          <w:rFonts w:asciiTheme="majorHAnsi" w:hAnsiTheme="majorHAnsi"/>
          <w:bCs/>
          <w:sz w:val="24"/>
          <w:szCs w:val="24"/>
        </w:rPr>
      </w:pPr>
      <w:r w:rsidRPr="0009687E">
        <w:rPr>
          <w:rFonts w:asciiTheme="majorHAnsi" w:hAnsiTheme="majorHAnsi"/>
          <w:bCs/>
          <w:sz w:val="24"/>
          <w:szCs w:val="24"/>
        </w:rPr>
        <w:t xml:space="preserve">Challenges: However, digital transformation and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xml:space="preserve"> also present challenges such as data governance issues, platform competition, and concerns related to privacy and security. Addressing these challenges is essential for realizing the full potential of digital technologies within DVNs.</w:t>
      </w:r>
      <w:r w:rsidRPr="0009687E">
        <w:rPr>
          <w:rFonts w:asciiTheme="majorHAnsi" w:eastAsia="Times New Roman" w:hAnsiTheme="majorHAnsi" w:cs="Times New Roman"/>
          <w:bCs/>
          <w:sz w:val="24"/>
          <w:szCs w:val="24"/>
        </w:rPr>
        <w:t xml:space="preserve"> </w:t>
      </w:r>
    </w:p>
    <w:p w14:paraId="689004F3" w14:textId="77777777" w:rsidR="000D4A65" w:rsidRPr="0009687E" w:rsidRDefault="000D4A65" w:rsidP="000D4A65">
      <w:pPr>
        <w:pStyle w:val="Heading1"/>
        <w:ind w:left="-5"/>
        <w:rPr>
          <w:bCs/>
          <w:sz w:val="24"/>
          <w:szCs w:val="24"/>
        </w:rPr>
      </w:pPr>
      <w:bookmarkStart w:id="56" w:name="_Toc168210205"/>
      <w:bookmarkStart w:id="57" w:name="_Toc168210361"/>
      <w:bookmarkStart w:id="58" w:name="_Toc44614"/>
      <w:r w:rsidRPr="0009687E">
        <w:rPr>
          <w:bCs/>
          <w:sz w:val="24"/>
          <w:szCs w:val="24"/>
        </w:rPr>
        <w:t>Literature Review</w:t>
      </w:r>
      <w:bookmarkEnd w:id="56"/>
      <w:bookmarkEnd w:id="57"/>
      <w:r w:rsidRPr="0009687E">
        <w:rPr>
          <w:rFonts w:eastAsia="Times New Roman" w:cs="Times New Roman"/>
          <w:bCs/>
          <w:sz w:val="24"/>
          <w:szCs w:val="24"/>
        </w:rPr>
        <w:t xml:space="preserve"> </w:t>
      </w:r>
      <w:bookmarkEnd w:id="58"/>
    </w:p>
    <w:p w14:paraId="781AD0C4"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Dynamic Value Networks (DVNs) represent a paradigm shift in contemporary business ecosystems, characterized by their interconnectedness, dynamism, and collaborative nature. This literature review examines key dimensions of DVNs, including their definition, evolution, principles, implementation strategies, risk management, ethics, and performance measurement.</w:t>
      </w:r>
      <w:r w:rsidRPr="0009687E">
        <w:rPr>
          <w:rFonts w:asciiTheme="majorHAnsi" w:eastAsia="Times New Roman" w:hAnsiTheme="majorHAnsi" w:cs="Times New Roman"/>
          <w:bCs/>
          <w:sz w:val="24"/>
          <w:szCs w:val="24"/>
        </w:rPr>
        <w:t xml:space="preserve"> </w:t>
      </w:r>
    </w:p>
    <w:p w14:paraId="37C7DE06"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Definition and Conceptualization of DVNs: Scholars have conceptualized DVNs as complex ecosystems of interconnected stakeholders collaborating to create, exchange, and capture value (</w:t>
      </w:r>
      <w:proofErr w:type="spellStart"/>
      <w:r w:rsidRPr="0009687E">
        <w:rPr>
          <w:rFonts w:asciiTheme="majorHAnsi" w:hAnsiTheme="majorHAnsi"/>
          <w:bCs/>
          <w:sz w:val="24"/>
          <w:szCs w:val="24"/>
        </w:rPr>
        <w:t>Jacobides</w:t>
      </w:r>
      <w:proofErr w:type="spellEnd"/>
      <w:r w:rsidRPr="0009687E">
        <w:rPr>
          <w:rFonts w:asciiTheme="majorHAnsi" w:hAnsiTheme="majorHAnsi"/>
          <w:bCs/>
          <w:sz w:val="24"/>
          <w:szCs w:val="24"/>
        </w:rPr>
        <w:t xml:space="preserve"> et al., 2018). This perspective highlights the shift from traditional linear value chains to more fluid and adaptive networked structures, emphasizing the importance of collaboration and mutual dependencies among network participants (</w:t>
      </w:r>
      <w:proofErr w:type="spellStart"/>
      <w:r w:rsidRPr="0009687E">
        <w:rPr>
          <w:rFonts w:asciiTheme="majorHAnsi" w:hAnsiTheme="majorHAnsi"/>
          <w:bCs/>
          <w:sz w:val="24"/>
          <w:szCs w:val="24"/>
        </w:rPr>
        <w:t>Iansiti</w:t>
      </w:r>
      <w:proofErr w:type="spellEnd"/>
      <w:r w:rsidRPr="0009687E">
        <w:rPr>
          <w:rFonts w:asciiTheme="majorHAnsi" w:hAnsiTheme="majorHAnsi"/>
          <w:bCs/>
          <w:sz w:val="24"/>
          <w:szCs w:val="24"/>
        </w:rPr>
        <w:t xml:space="preserve"> &amp; Levien, 2004).</w:t>
      </w:r>
      <w:r w:rsidRPr="0009687E">
        <w:rPr>
          <w:rFonts w:asciiTheme="majorHAnsi" w:eastAsia="Times New Roman" w:hAnsiTheme="majorHAnsi" w:cs="Times New Roman"/>
          <w:bCs/>
          <w:sz w:val="24"/>
          <w:szCs w:val="24"/>
        </w:rPr>
        <w:t xml:space="preserve"> </w:t>
      </w:r>
    </w:p>
    <w:p w14:paraId="099D588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Evolution of Value Networks: The evolution of value networks reflects broader trends in digitalization, globalization, and the emergence of platform-based business models. Scholars have traced the evolution of DVNs from traditional value chains to more interconnected and collaborative ecosystems, driven by advances in technology and changing market dynamics (Lusch &amp; Nambisan, 2015). The rise of digital platforms has facilitated the emergence of DVNs, enabling seamless connectivity, collaboration, and value exchange among diverse stakeholders (Parker et al., 2016).</w:t>
      </w:r>
      <w:r w:rsidRPr="0009687E">
        <w:rPr>
          <w:rFonts w:asciiTheme="majorHAnsi" w:eastAsia="Times New Roman" w:hAnsiTheme="majorHAnsi" w:cs="Times New Roman"/>
          <w:bCs/>
          <w:sz w:val="24"/>
          <w:szCs w:val="24"/>
        </w:rPr>
        <w:t xml:space="preserve"> </w:t>
      </w:r>
    </w:p>
    <w:p w14:paraId="745A36C4"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Principles of Dynamic Value Networks: Key principles of DVNs include network orchestration, co-creation, and innovation. Network orchestration involves the management and facilitation of collaboration among network participants, emphasizing trust-building, incentive alignment, and conflict resolution (Gulati et al., 2012). Co-creation and innovation are essential mechanisms for driving value creation within DVNs, enabling stakeholders to collaborate on the development of new products, services, and solutions (Prahalad &amp; Ramaswamy, 2004).</w:t>
      </w:r>
      <w:r w:rsidRPr="0009687E">
        <w:rPr>
          <w:rFonts w:asciiTheme="majorHAnsi" w:eastAsia="Times New Roman" w:hAnsiTheme="majorHAnsi" w:cs="Times New Roman"/>
          <w:bCs/>
          <w:sz w:val="24"/>
          <w:szCs w:val="24"/>
        </w:rPr>
        <w:t xml:space="preserve"> </w:t>
      </w:r>
    </w:p>
    <w:p w14:paraId="43F3E37B"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Implementation Strategies for Leveraging DVNs: Organizations adopt various strategies to leverage DVNs, including ecosystem strategy and digital transformation. Ecosystem strategy emphasizes ecosystem leadership,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xml:space="preserve">, and governance to maximize value creation and capture (Adner, 2017). Digital transformation and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xml:space="preserve"> enable organizations to scale and harness the full potential of DVNs, leveraging digital technologies and platforms to facilitate collaboration, innovation, and value exchange (Westerman et al., 2014).</w:t>
      </w:r>
      <w:r w:rsidRPr="0009687E">
        <w:rPr>
          <w:rFonts w:asciiTheme="majorHAnsi" w:eastAsia="Times New Roman" w:hAnsiTheme="majorHAnsi" w:cs="Times New Roman"/>
          <w:bCs/>
          <w:sz w:val="24"/>
          <w:szCs w:val="24"/>
        </w:rPr>
        <w:t xml:space="preserve"> </w:t>
      </w:r>
    </w:p>
    <w:p w14:paraId="7E6ABD4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Risk Management and Resilience in DVNs: Risk management and resilience-building strategies are essential for ensuring the sustainability of DVNs. Scholars have highlighted the importance of identifying and assessing risks within DVNs, as well as implementing mitigation strategies to mitigate disruptions and enhance resilience (</w:t>
      </w:r>
      <w:proofErr w:type="spellStart"/>
      <w:r w:rsidRPr="0009687E">
        <w:rPr>
          <w:rFonts w:asciiTheme="majorHAnsi" w:hAnsiTheme="majorHAnsi"/>
          <w:bCs/>
          <w:sz w:val="24"/>
          <w:szCs w:val="24"/>
        </w:rPr>
        <w:t>Sheffi</w:t>
      </w:r>
      <w:proofErr w:type="spellEnd"/>
      <w:r w:rsidRPr="0009687E">
        <w:rPr>
          <w:rFonts w:asciiTheme="majorHAnsi" w:hAnsiTheme="majorHAnsi"/>
          <w:bCs/>
          <w:sz w:val="24"/>
          <w:szCs w:val="24"/>
        </w:rPr>
        <w:t xml:space="preserve"> &amp; Rice, 2005). Agile governance structures and adaptive decision-making processes have been proposed as mechanisms for enhancing the resilience of DVNs in the face of uncertainty and change (Dooley &amp; Lupton, 2017).</w:t>
      </w:r>
      <w:r w:rsidRPr="0009687E">
        <w:rPr>
          <w:rFonts w:asciiTheme="majorHAnsi" w:eastAsia="Times New Roman" w:hAnsiTheme="majorHAnsi" w:cs="Times New Roman"/>
          <w:bCs/>
          <w:sz w:val="24"/>
          <w:szCs w:val="24"/>
        </w:rPr>
        <w:t xml:space="preserve"> </w:t>
      </w:r>
    </w:p>
    <w:p w14:paraId="5FEC0D3B"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Ethics and Social Responsibility in DVNs: Ethical considerations and social responsibility are critical factors for fostering trust and integrity within DVNs. Scholars have emphasized the importance of ethical frameworks, transparency, and stakeholder engagement in promoting ethical behavior and social responsibility within DVNs (Crane &amp; Matten, 2016). Stakeholder engagement and inclusivity have been identified as key principles for promoting ethical behavior and ensuring alignment with shared ethical norms and standards (Freeman et al., 2010).</w:t>
      </w:r>
      <w:r w:rsidRPr="0009687E">
        <w:rPr>
          <w:rFonts w:asciiTheme="majorHAnsi" w:eastAsia="Times New Roman" w:hAnsiTheme="majorHAnsi" w:cs="Times New Roman"/>
          <w:bCs/>
          <w:sz w:val="24"/>
          <w:szCs w:val="24"/>
        </w:rPr>
        <w:t xml:space="preserve"> </w:t>
      </w:r>
    </w:p>
    <w:p w14:paraId="7DC4725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Measurement and Evaluation of DVN Performance: Measuring and evaluating the performance of DVNs is essential for assessing effectiveness, identifying opportunities for improvement, and driving value creation. Scholars have proposed various performance measurement frameworks and metrics for evaluating the effectiveness and impact of DVNs, as well as continuous evaluation and improvement processes for driving innovation and optimizing performance (Kaplan &amp; Norton, 1996; Biehl et al., 2018).</w:t>
      </w:r>
      <w:r w:rsidRPr="0009687E">
        <w:rPr>
          <w:rFonts w:asciiTheme="majorHAnsi" w:eastAsia="Times New Roman" w:hAnsiTheme="majorHAnsi" w:cs="Times New Roman"/>
          <w:bCs/>
          <w:sz w:val="24"/>
          <w:szCs w:val="24"/>
        </w:rPr>
        <w:t xml:space="preserve"> </w:t>
      </w:r>
    </w:p>
    <w:p w14:paraId="74644322"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In summary, the literature on Dynamic Value Networks provides valuable insights into the conceptualization, evolution, principles, implementation strategies, risk management, ethics, and performance measurement of DVNs. Further research in this area is needed to address emerging challenges and opportunities in the increasingly interconnected and dynamic business environment.</w:t>
      </w:r>
      <w:r w:rsidRPr="0009687E">
        <w:rPr>
          <w:rFonts w:asciiTheme="majorHAnsi" w:eastAsia="Times New Roman" w:hAnsiTheme="majorHAnsi" w:cs="Times New Roman"/>
          <w:bCs/>
          <w:sz w:val="24"/>
          <w:szCs w:val="24"/>
        </w:rPr>
        <w:t xml:space="preserve"> </w:t>
      </w:r>
    </w:p>
    <w:p w14:paraId="4570582D" w14:textId="77777777" w:rsidR="000D4A65" w:rsidRPr="0009687E" w:rsidRDefault="000D4A65" w:rsidP="000D4A65">
      <w:pPr>
        <w:spacing w:after="360"/>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01F394B0" w14:textId="77777777" w:rsidR="000D4A65" w:rsidRPr="0009687E" w:rsidRDefault="000D4A65" w:rsidP="000D4A65">
      <w:pPr>
        <w:pStyle w:val="Heading1"/>
        <w:ind w:left="-5"/>
        <w:rPr>
          <w:bCs/>
          <w:sz w:val="24"/>
          <w:szCs w:val="24"/>
        </w:rPr>
      </w:pPr>
      <w:bookmarkStart w:id="59" w:name="_Toc168210206"/>
      <w:bookmarkStart w:id="60" w:name="_Toc168210362"/>
      <w:bookmarkStart w:id="61" w:name="_Toc44615"/>
      <w:r w:rsidRPr="0009687E">
        <w:rPr>
          <w:bCs/>
          <w:sz w:val="24"/>
          <w:szCs w:val="24"/>
        </w:rPr>
        <w:t>Theoretical Framework</w:t>
      </w:r>
      <w:bookmarkEnd w:id="59"/>
      <w:bookmarkEnd w:id="60"/>
      <w:r w:rsidRPr="0009687E">
        <w:rPr>
          <w:rFonts w:eastAsia="Times New Roman" w:cs="Times New Roman"/>
          <w:bCs/>
          <w:sz w:val="24"/>
          <w:szCs w:val="24"/>
        </w:rPr>
        <w:t xml:space="preserve"> </w:t>
      </w:r>
      <w:bookmarkEnd w:id="61"/>
    </w:p>
    <w:p w14:paraId="789BCB5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Theoretical insights from research on DVNs provide valuable guidance for organizations seeking to participate in and leverage dynamic value networks effectively (Adner, 2017). By understanding the key principles, mechanisms, and success factors of DVNs, organizations can develop practical strategies and policies that align with their objectives and capabilities (Prahalad &amp; Ramaswamy, 2004). Moreover, by leveraging digital technologies, agile governance structures, and ethical frameworks, organizations can create an enabling environment for collaboration, innovation, and value creation within DVNs (Westerman et al., 2014). Ultimately, theoretical insights from research on DVNs help organizations navigate complexity, uncertainty, and change in the dynamic and interconnected business landscape, driving sustainable growth and competitive advantage (Lusch &amp; Nambisan, 2015).</w:t>
      </w:r>
      <w:r w:rsidRPr="0009687E">
        <w:rPr>
          <w:rFonts w:asciiTheme="majorHAnsi" w:eastAsia="Times New Roman" w:hAnsiTheme="majorHAnsi" w:cs="Times New Roman"/>
          <w:bCs/>
          <w:sz w:val="24"/>
          <w:szCs w:val="24"/>
        </w:rPr>
        <w:t xml:space="preserve"> </w:t>
      </w:r>
    </w:p>
    <w:p w14:paraId="0BD50402"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The theoretical framework for Dynamic Value Networks (DVN) represents a fusion of concepts and principles drawn from various fields, each contributing valuable insights into the understanding and management of interconnected ecosystems of stakeholders. Expanding upon the core theoretical underpinnings previously discussed, let's delve deeper into each area:</w:t>
      </w:r>
      <w:r w:rsidRPr="0009687E">
        <w:rPr>
          <w:rFonts w:asciiTheme="majorHAnsi" w:eastAsia="Times New Roman" w:hAnsiTheme="majorHAnsi" w:cs="Times New Roman"/>
          <w:bCs/>
          <w:sz w:val="24"/>
          <w:szCs w:val="24"/>
        </w:rPr>
        <w:t xml:space="preserve"> </w:t>
      </w:r>
    </w:p>
    <w:p w14:paraId="06076FB6" w14:textId="77777777" w:rsidR="000D4A65" w:rsidRPr="0009687E" w:rsidRDefault="000D4A65" w:rsidP="00303A6C">
      <w:pPr>
        <w:numPr>
          <w:ilvl w:val="0"/>
          <w:numId w:val="46"/>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Network Theory: At the heart of DVN Theory lies network theory, a rich and interdisciplinary field that examines the structure, dynamics, and behavior of interconnected systems. Network theory provides a robust framework for analyzing the relationships and interactions among stakeholders within DVNs. It encompasses concepts such as network topology, centrality, connectivity, and resilience, which are instrumental in understanding how information, resources, and value flow through the network. Moreover, network theory offers models and metrics for quantifying the strength of connections and identifying key actors or nodes within the network. By applying network theory principles, organizations can gain insights into the patterns of collaboration, knowledge exchange, and value co-creation that characterize DVNs.</w:t>
      </w:r>
      <w:r w:rsidRPr="0009687E">
        <w:rPr>
          <w:rFonts w:asciiTheme="majorHAnsi" w:eastAsia="Times New Roman" w:hAnsiTheme="majorHAnsi" w:cs="Times New Roman"/>
          <w:bCs/>
          <w:sz w:val="24"/>
          <w:szCs w:val="24"/>
        </w:rPr>
        <w:t xml:space="preserve"> </w:t>
      </w:r>
    </w:p>
    <w:p w14:paraId="66554852" w14:textId="77777777" w:rsidR="000D4A65" w:rsidRPr="0009687E" w:rsidRDefault="000D4A65" w:rsidP="00303A6C">
      <w:pPr>
        <w:numPr>
          <w:ilvl w:val="0"/>
          <w:numId w:val="46"/>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 xml:space="preserve">Systems Thinking: Systems thinking offers a holistic perspective on organizations as complex adaptive systems embedded within broader socio-economic and environmental contexts. Central to systems thinking is the recognition that organizations are comprised of interconnected parts that interact dynamically with each other and their environment. DVN Theory adopts a </w:t>
      </w:r>
      <w:proofErr w:type="gramStart"/>
      <w:r w:rsidRPr="0009687E">
        <w:rPr>
          <w:rFonts w:asciiTheme="majorHAnsi" w:hAnsiTheme="majorHAnsi"/>
          <w:bCs/>
          <w:sz w:val="24"/>
          <w:szCs w:val="24"/>
        </w:rPr>
        <w:t>systems</w:t>
      </w:r>
      <w:proofErr w:type="gramEnd"/>
      <w:r w:rsidRPr="0009687E">
        <w:rPr>
          <w:rFonts w:asciiTheme="majorHAnsi" w:hAnsiTheme="majorHAnsi"/>
          <w:bCs/>
          <w:sz w:val="24"/>
          <w:szCs w:val="24"/>
        </w:rPr>
        <w:t xml:space="preserve"> thinking lens to analyze the interdependencies and feedback loops that shape the behavior of stakeholders within the network. This approach emphasizes the importance of considering the broader systemic implications of decisions and actions taken within DVNs. By viewing DVNs as complex adaptive systems, organizations can better understand the emergent properties, non-linear dynamics, and unintended consequences that may arise within the network.</w:t>
      </w:r>
      <w:r w:rsidRPr="0009687E">
        <w:rPr>
          <w:rFonts w:asciiTheme="majorHAnsi" w:eastAsia="Times New Roman" w:hAnsiTheme="majorHAnsi" w:cs="Times New Roman"/>
          <w:bCs/>
          <w:sz w:val="24"/>
          <w:szCs w:val="24"/>
        </w:rPr>
        <w:t xml:space="preserve"> </w:t>
      </w:r>
    </w:p>
    <w:p w14:paraId="70C45C42" w14:textId="77777777" w:rsidR="000D4A65" w:rsidRPr="0009687E" w:rsidRDefault="000D4A65" w:rsidP="00303A6C">
      <w:pPr>
        <w:numPr>
          <w:ilvl w:val="0"/>
          <w:numId w:val="46"/>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Organizational Behavior: Organizational behavior theories provide insights into the individual, group, and organizational dynamics that influence behavior and performance within social systems. Within the context of DVNs, organizational behavior theories shed light on various aspects of stakeholder engagement, including motivation, leadership, communication, and collaboration. For example, theories on motivation help elucidate the factors that drive stakeholders to participate and contribute within the network, while theories on leadership highlight the role of network orchestrators in guiding and facilitating collaboration among diverse stakeholders. Additionally, theories on organizational culture and norms inform our understanding of the shared values, beliefs, and norms that shape behavior and interactions within DVNs. By drawing upon organizational behavior theories, organizations can cultivate a deeper understanding of the human dimension of DVNs and foster an environment conducive to collaboration, innovation, and trust-building.</w:t>
      </w:r>
      <w:r w:rsidRPr="0009687E">
        <w:rPr>
          <w:rFonts w:asciiTheme="majorHAnsi" w:eastAsia="Times New Roman" w:hAnsiTheme="majorHAnsi" w:cs="Times New Roman"/>
          <w:bCs/>
          <w:sz w:val="24"/>
          <w:szCs w:val="24"/>
        </w:rPr>
        <w:t xml:space="preserve"> </w:t>
      </w:r>
    </w:p>
    <w:p w14:paraId="38145473" w14:textId="77777777" w:rsidR="000D4A65" w:rsidRPr="0009687E" w:rsidRDefault="000D4A65" w:rsidP="00303A6C">
      <w:pPr>
        <w:numPr>
          <w:ilvl w:val="0"/>
          <w:numId w:val="46"/>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Value Chain Theory: While DVNs represent a departure from traditional linear value chains, value chain theory remains relevant in understanding the concept of value creation and distribution within networks. Value chain theory emphasizes the sequential stages and activities involved in transforming inputs into outputs, with each stage adding value to the final product or service. Within DVN Theory, value chain concepts are expanded to encompass the iterative and collaborative nature of value creation within dynamic networks. Rather than viewing value creation as a linear process, DVN Theory recognizes that value is co-created through iterative interactions and exchanges among stakeholders. Moreover, value chain theory highlights the importance of value-added activities at each stage of the chain, which are amplified within DVNs through network effects and collaboration.</w:t>
      </w:r>
      <w:r w:rsidRPr="0009687E">
        <w:rPr>
          <w:rFonts w:asciiTheme="majorHAnsi" w:eastAsia="Times New Roman" w:hAnsiTheme="majorHAnsi" w:cs="Times New Roman"/>
          <w:bCs/>
          <w:sz w:val="24"/>
          <w:szCs w:val="24"/>
        </w:rPr>
        <w:t xml:space="preserve"> </w:t>
      </w:r>
    </w:p>
    <w:p w14:paraId="7EF89F02" w14:textId="77777777" w:rsidR="000D4A65" w:rsidRPr="0009687E" w:rsidRDefault="000D4A65" w:rsidP="00303A6C">
      <w:pPr>
        <w:numPr>
          <w:ilvl w:val="0"/>
          <w:numId w:val="46"/>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 xml:space="preserve">Platform Economics: Platform economics theories offer insights into the dynamics of digital platforms and ecosystems, which play a central role in facilitating collaboration, innovation, and value exchange within DVNs. Platforms serve as intermediaries that connect diverse stakeholders, enabling them to interact, transact, and collaborate within the networked economy. DVN Theory leverages concepts from platform economics, such as multisided platforms and network effects, to elucidate how digital platforms enable value creation and capture within DVNs. For example, multisided platform theory explains how platforms bring together multiple user groups and facilitate transactions and interactions among them. Similarly, network effects theory highlights how the value of the network increases as more participants </w:t>
      </w:r>
      <w:proofErr w:type="gramStart"/>
      <w:r w:rsidRPr="0009687E">
        <w:rPr>
          <w:rFonts w:asciiTheme="majorHAnsi" w:hAnsiTheme="majorHAnsi"/>
          <w:bCs/>
          <w:sz w:val="24"/>
          <w:szCs w:val="24"/>
        </w:rPr>
        <w:t>join</w:t>
      </w:r>
      <w:proofErr w:type="gramEnd"/>
      <w:r w:rsidRPr="0009687E">
        <w:rPr>
          <w:rFonts w:asciiTheme="majorHAnsi" w:hAnsiTheme="majorHAnsi"/>
          <w:bCs/>
          <w:sz w:val="24"/>
          <w:szCs w:val="24"/>
        </w:rPr>
        <w:t>, contributing to a virtuous cycle of value creation and adoption.</w:t>
      </w:r>
      <w:r w:rsidRPr="0009687E">
        <w:rPr>
          <w:rFonts w:asciiTheme="majorHAnsi" w:eastAsia="Times New Roman" w:hAnsiTheme="majorHAnsi" w:cs="Times New Roman"/>
          <w:bCs/>
          <w:sz w:val="24"/>
          <w:szCs w:val="24"/>
        </w:rPr>
        <w:t xml:space="preserve"> </w:t>
      </w:r>
    </w:p>
    <w:p w14:paraId="22F90AC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In summary, the theoretical framework for Dynamic Value Networks (DVN) integrates concepts and principles from network theory, systems thinking, organizational behavior, value chain theory, and platform economics to provide a comprehensive understanding of how organizations can leverage interconnected ecosystems to drive innovation, collaboration, and sustainable value creation. By drawing upon these diverse theoretical perspectives, DVN Theory offers a holistic approach to navigating the complexities of the networked economy and harnessing the full potential of dynamic value networks.</w:t>
      </w:r>
      <w:r w:rsidRPr="0009687E">
        <w:rPr>
          <w:rFonts w:asciiTheme="majorHAnsi" w:eastAsia="Times New Roman" w:hAnsiTheme="majorHAnsi" w:cs="Times New Roman"/>
          <w:bCs/>
          <w:sz w:val="24"/>
          <w:szCs w:val="24"/>
        </w:rPr>
        <w:t xml:space="preserve"> </w:t>
      </w:r>
    </w:p>
    <w:p w14:paraId="471E9835"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7BC1FA06" w14:textId="77777777" w:rsidR="000D4A65" w:rsidRPr="0009687E" w:rsidRDefault="000D4A65" w:rsidP="000D4A65">
      <w:pPr>
        <w:spacing w:after="360"/>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5BA1B10A" w14:textId="77777777" w:rsidR="000D4A65" w:rsidRPr="0009687E" w:rsidRDefault="000D4A65" w:rsidP="000D4A65">
      <w:pPr>
        <w:pStyle w:val="Heading1"/>
        <w:ind w:left="-5"/>
        <w:rPr>
          <w:bCs/>
          <w:sz w:val="24"/>
          <w:szCs w:val="24"/>
        </w:rPr>
      </w:pPr>
      <w:bookmarkStart w:id="62" w:name="_Toc168210207"/>
      <w:bookmarkStart w:id="63" w:name="_Toc168210363"/>
      <w:bookmarkStart w:id="64" w:name="_Toc44616"/>
      <w:r w:rsidRPr="0009687E">
        <w:rPr>
          <w:bCs/>
          <w:sz w:val="24"/>
          <w:szCs w:val="24"/>
        </w:rPr>
        <w:t>Methodology</w:t>
      </w:r>
      <w:bookmarkEnd w:id="62"/>
      <w:bookmarkEnd w:id="63"/>
      <w:r w:rsidRPr="0009687E">
        <w:rPr>
          <w:rFonts w:eastAsia="Times New Roman" w:cs="Times New Roman"/>
          <w:bCs/>
          <w:sz w:val="24"/>
          <w:szCs w:val="24"/>
        </w:rPr>
        <w:t xml:space="preserve"> </w:t>
      </w:r>
      <w:bookmarkEnd w:id="64"/>
    </w:p>
    <w:p w14:paraId="6511A60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This section outlines the methodology employed to investigate and analyze Dynamic Value Networks (DVNs) within the context of contemporary business ecosystems. The research methodology encompasses data collection, data analysis, and interpretation of findings.</w:t>
      </w:r>
      <w:r w:rsidRPr="0009687E">
        <w:rPr>
          <w:rFonts w:asciiTheme="majorHAnsi" w:eastAsia="Times New Roman" w:hAnsiTheme="majorHAnsi" w:cs="Times New Roman"/>
          <w:bCs/>
          <w:sz w:val="24"/>
          <w:szCs w:val="24"/>
        </w:rPr>
        <w:t xml:space="preserve"> </w:t>
      </w:r>
    </w:p>
    <w:p w14:paraId="711B0267" w14:textId="77777777" w:rsidR="000D4A65" w:rsidRPr="0009687E" w:rsidRDefault="000D4A65" w:rsidP="00303A6C">
      <w:pPr>
        <w:numPr>
          <w:ilvl w:val="0"/>
          <w:numId w:val="4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Research Design: The research design adopts a mixed-methods approach, combining qualitative and quantitative techniques to gain a comprehensive understanding of DVNs. Qualitative methods such as interviews, focus groups, and case studies are utilized to explore the nuances of DVNs, while quantitative methods such as surveys and statistical analysis are employed to gather empirical data and test hypotheses.</w:t>
      </w:r>
      <w:r w:rsidRPr="0009687E">
        <w:rPr>
          <w:rFonts w:asciiTheme="majorHAnsi" w:eastAsia="Times New Roman" w:hAnsiTheme="majorHAnsi" w:cs="Times New Roman"/>
          <w:bCs/>
          <w:sz w:val="24"/>
          <w:szCs w:val="24"/>
        </w:rPr>
        <w:t xml:space="preserve"> </w:t>
      </w:r>
    </w:p>
    <w:p w14:paraId="34381B89" w14:textId="77777777" w:rsidR="000D4A65" w:rsidRPr="0009687E" w:rsidRDefault="000D4A65" w:rsidP="00303A6C">
      <w:pPr>
        <w:numPr>
          <w:ilvl w:val="0"/>
          <w:numId w:val="4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Data Collection: Data collection involves gathering primary and secondary data from multiple sources. Primary data is collected through interviews, surveys, and observations conducted with key stakeholders within DVNs, including organizations, individuals, and industry experts. Secondary data is obtained from scholarly articles, books, reports, and other relevant sources to provide context and background information on DVNs.</w:t>
      </w:r>
      <w:r w:rsidRPr="0009687E">
        <w:rPr>
          <w:rFonts w:asciiTheme="majorHAnsi" w:eastAsia="Times New Roman" w:hAnsiTheme="majorHAnsi" w:cs="Times New Roman"/>
          <w:bCs/>
          <w:sz w:val="24"/>
          <w:szCs w:val="24"/>
        </w:rPr>
        <w:t xml:space="preserve"> </w:t>
      </w:r>
    </w:p>
    <w:p w14:paraId="678522D2" w14:textId="77777777" w:rsidR="000D4A65" w:rsidRPr="0009687E" w:rsidRDefault="000D4A65" w:rsidP="00303A6C">
      <w:pPr>
        <w:numPr>
          <w:ilvl w:val="0"/>
          <w:numId w:val="4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Sampling Strategy: The sampling strategy adopts a purposive sampling approach to select participants who possess relevant knowledge and expertise in DVNs. Key stakeholders representing different roles, industries, and perspectives within DVNs are targeted to ensure diversity and depth in the data collected.</w:t>
      </w:r>
      <w:r w:rsidRPr="0009687E">
        <w:rPr>
          <w:rFonts w:asciiTheme="majorHAnsi" w:eastAsia="Times New Roman" w:hAnsiTheme="majorHAnsi" w:cs="Times New Roman"/>
          <w:bCs/>
          <w:sz w:val="24"/>
          <w:szCs w:val="24"/>
        </w:rPr>
        <w:t xml:space="preserve"> </w:t>
      </w:r>
    </w:p>
    <w:p w14:paraId="7995BA23" w14:textId="77777777" w:rsidR="000D4A65" w:rsidRPr="0009687E" w:rsidRDefault="000D4A65" w:rsidP="00303A6C">
      <w:pPr>
        <w:numPr>
          <w:ilvl w:val="0"/>
          <w:numId w:val="4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Data Analysis: Qualitative data analysis involves thematic coding and content analysis to identify patterns, themes, and insights emerging from interviews, focus groups, and case studies. Quantitative data analysis utilizes statistical techniques such as descriptive statistics, correlation analysis, and regression analysis to analyze survey data and test hypotheses.</w:t>
      </w:r>
      <w:r w:rsidRPr="0009687E">
        <w:rPr>
          <w:rFonts w:asciiTheme="majorHAnsi" w:eastAsia="Times New Roman" w:hAnsiTheme="majorHAnsi" w:cs="Times New Roman"/>
          <w:bCs/>
          <w:sz w:val="24"/>
          <w:szCs w:val="24"/>
        </w:rPr>
        <w:t xml:space="preserve"> </w:t>
      </w:r>
    </w:p>
    <w:p w14:paraId="0012C77B" w14:textId="77777777" w:rsidR="000D4A65" w:rsidRPr="0009687E" w:rsidRDefault="000D4A65" w:rsidP="00303A6C">
      <w:pPr>
        <w:numPr>
          <w:ilvl w:val="0"/>
          <w:numId w:val="4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Integration of Data: The integration of qualitative and quantitative data enables a holistic understanding of DVNs, combining insights from individual perspectives with empirical evidence to generate comprehensive findings. Triangulation techniques are employed to validate and corroborate findings across different data sources and methods.</w:t>
      </w:r>
      <w:r w:rsidRPr="0009687E">
        <w:rPr>
          <w:rFonts w:asciiTheme="majorHAnsi" w:eastAsia="Times New Roman" w:hAnsiTheme="majorHAnsi" w:cs="Times New Roman"/>
          <w:bCs/>
          <w:sz w:val="24"/>
          <w:szCs w:val="24"/>
        </w:rPr>
        <w:t xml:space="preserve"> </w:t>
      </w:r>
    </w:p>
    <w:p w14:paraId="6B7B6969" w14:textId="77777777" w:rsidR="000D4A65" w:rsidRPr="0009687E" w:rsidRDefault="000D4A65" w:rsidP="00303A6C">
      <w:pPr>
        <w:numPr>
          <w:ilvl w:val="0"/>
          <w:numId w:val="4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Interpretation of Findings: Findings are interpreted within the theoretical framework of DVNs, exploring the implications for theory, practice, and future research. Theoretical saturation is sought to ensure that data collection and analysis adequately capture the complexity and nuances of DVNs, allowing for rich and nuanced interpretations.</w:t>
      </w:r>
      <w:r w:rsidRPr="0009687E">
        <w:rPr>
          <w:rFonts w:asciiTheme="majorHAnsi" w:eastAsia="Times New Roman" w:hAnsiTheme="majorHAnsi" w:cs="Times New Roman"/>
          <w:bCs/>
          <w:sz w:val="24"/>
          <w:szCs w:val="24"/>
        </w:rPr>
        <w:t xml:space="preserve"> </w:t>
      </w:r>
    </w:p>
    <w:p w14:paraId="7887D608" w14:textId="77777777" w:rsidR="000D4A65" w:rsidRPr="0009687E" w:rsidRDefault="000D4A65" w:rsidP="00303A6C">
      <w:pPr>
        <w:numPr>
          <w:ilvl w:val="0"/>
          <w:numId w:val="4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Ethical Considerations: Ethical considerations are paramount throughout the research process, ensuring the confidentiality, anonymity, and informed consent of participants. Ethical guidelines and protocols are adhered to in data collection, analysis, and dissemination, minimizing potential risks and ensuring the integrity and validity of the research.</w:t>
      </w:r>
      <w:r w:rsidRPr="0009687E">
        <w:rPr>
          <w:rFonts w:asciiTheme="majorHAnsi" w:eastAsia="Times New Roman" w:hAnsiTheme="majorHAnsi" w:cs="Times New Roman"/>
          <w:bCs/>
          <w:sz w:val="24"/>
          <w:szCs w:val="24"/>
        </w:rPr>
        <w:t xml:space="preserve"> </w:t>
      </w:r>
    </w:p>
    <w:p w14:paraId="0E2AE652" w14:textId="77777777" w:rsidR="000D4A65" w:rsidRPr="0009687E" w:rsidRDefault="000D4A65" w:rsidP="00303A6C">
      <w:pPr>
        <w:numPr>
          <w:ilvl w:val="0"/>
          <w:numId w:val="4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Limitations: The study acknowledges certain limitations, including potential biases in sampling, self-reporting, and generalizability of findings. Efforts are made to mitigate these limitations through rigorous research design, data collection, and analysis techniques, as well as transparent reporting of methodology and results.</w:t>
      </w:r>
      <w:r w:rsidRPr="0009687E">
        <w:rPr>
          <w:rFonts w:asciiTheme="majorHAnsi" w:eastAsia="Times New Roman" w:hAnsiTheme="majorHAnsi" w:cs="Times New Roman"/>
          <w:bCs/>
          <w:sz w:val="24"/>
          <w:szCs w:val="24"/>
        </w:rPr>
        <w:t xml:space="preserve"> </w:t>
      </w:r>
    </w:p>
    <w:p w14:paraId="1ED2A38B"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By employing a rigorous and systematic methodology, this research aims to contribute to the understanding of DVNs and provide valuable insights for theory, practice, and policy in the dynamic and interconnected business landscape.</w:t>
      </w:r>
      <w:r w:rsidRPr="0009687E">
        <w:rPr>
          <w:rFonts w:asciiTheme="majorHAnsi" w:eastAsia="Times New Roman" w:hAnsiTheme="majorHAnsi" w:cs="Times New Roman"/>
          <w:bCs/>
          <w:sz w:val="24"/>
          <w:szCs w:val="24"/>
        </w:rPr>
        <w:t xml:space="preserve"> </w:t>
      </w:r>
    </w:p>
    <w:p w14:paraId="11D8D77A" w14:textId="77777777" w:rsidR="000D4A65" w:rsidRPr="0009687E" w:rsidRDefault="000D4A65" w:rsidP="000D4A65">
      <w:pPr>
        <w:spacing w:after="360"/>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46CF1DD7" w14:textId="77777777" w:rsidR="000D4A65" w:rsidRPr="0009687E" w:rsidRDefault="000D4A65" w:rsidP="000D4A65">
      <w:pPr>
        <w:pStyle w:val="Heading1"/>
        <w:spacing w:after="158"/>
        <w:ind w:left="-5"/>
        <w:rPr>
          <w:bCs/>
          <w:sz w:val="24"/>
          <w:szCs w:val="24"/>
        </w:rPr>
      </w:pPr>
      <w:bookmarkStart w:id="65" w:name="_Toc168210208"/>
      <w:bookmarkStart w:id="66" w:name="_Toc168210364"/>
      <w:bookmarkStart w:id="67" w:name="_Toc44617"/>
      <w:r w:rsidRPr="0009687E">
        <w:rPr>
          <w:bCs/>
          <w:sz w:val="24"/>
          <w:szCs w:val="24"/>
        </w:rPr>
        <w:t>Section 1: Understanding Dynamic Value Networks</w:t>
      </w:r>
      <w:bookmarkEnd w:id="65"/>
      <w:bookmarkEnd w:id="66"/>
      <w:r w:rsidRPr="0009687E">
        <w:rPr>
          <w:rFonts w:eastAsia="Times New Roman" w:cs="Times New Roman"/>
          <w:bCs/>
          <w:sz w:val="24"/>
          <w:szCs w:val="24"/>
        </w:rPr>
        <w:t xml:space="preserve"> </w:t>
      </w:r>
      <w:bookmarkEnd w:id="67"/>
    </w:p>
    <w:p w14:paraId="12B895A1" w14:textId="77777777" w:rsidR="000D4A65" w:rsidRPr="0009687E" w:rsidRDefault="000D4A65" w:rsidP="000D4A65">
      <w:pPr>
        <w:pStyle w:val="Heading2"/>
        <w:ind w:left="-5"/>
        <w:rPr>
          <w:bCs/>
          <w:sz w:val="24"/>
          <w:szCs w:val="24"/>
        </w:rPr>
      </w:pPr>
      <w:bookmarkStart w:id="68" w:name="_Toc168210209"/>
      <w:bookmarkStart w:id="69" w:name="_Toc168210365"/>
      <w:bookmarkStart w:id="70" w:name="_Toc44618"/>
      <w:r w:rsidRPr="0009687E">
        <w:rPr>
          <w:bCs/>
          <w:sz w:val="24"/>
          <w:szCs w:val="24"/>
        </w:rPr>
        <w:t>1.1 Definition of DVNs:</w:t>
      </w:r>
      <w:bookmarkEnd w:id="68"/>
      <w:bookmarkEnd w:id="69"/>
      <w:r w:rsidRPr="0009687E">
        <w:rPr>
          <w:rFonts w:eastAsia="Times New Roman" w:cs="Times New Roman"/>
          <w:bCs/>
          <w:sz w:val="24"/>
          <w:szCs w:val="24"/>
        </w:rPr>
        <w:t xml:space="preserve"> </w:t>
      </w:r>
      <w:bookmarkEnd w:id="70"/>
    </w:p>
    <w:p w14:paraId="4E50F0C4"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 Dynamic Value Networks (DVNs) represent intricate ecosystems of stakeholders collaborating to create, exchange, and capture value. Unlike traditional linear value chains, DVNs are characterized by their dynamic and adaptive nature, emphasizing the interconnectedness of network participants. Within DVNs, value creation is not confined to a linear progression but occurs through iterative interactions and exchanges among stakeholders. Key attributes of DVNs include:</w:t>
      </w:r>
      <w:r w:rsidRPr="0009687E">
        <w:rPr>
          <w:rFonts w:asciiTheme="majorHAnsi" w:eastAsia="Times New Roman" w:hAnsiTheme="majorHAnsi" w:cs="Times New Roman"/>
          <w:bCs/>
          <w:sz w:val="24"/>
          <w:szCs w:val="24"/>
        </w:rPr>
        <w:t xml:space="preserve"> </w:t>
      </w:r>
    </w:p>
    <w:p w14:paraId="123180A6" w14:textId="77777777" w:rsidR="000D4A65" w:rsidRPr="0009687E" w:rsidRDefault="000D4A65" w:rsidP="00303A6C">
      <w:pPr>
        <w:numPr>
          <w:ilvl w:val="0"/>
          <w:numId w:val="48"/>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Dynamic Nature: DVNs are fluid and responsive to changes in market conditions, technological advancements, and stakeholder preferences. This dynamism enables DVNs to adapt and evolve over time, driving innovation and resilience.</w:t>
      </w:r>
      <w:r w:rsidRPr="0009687E">
        <w:rPr>
          <w:rFonts w:asciiTheme="majorHAnsi" w:eastAsia="Times New Roman" w:hAnsiTheme="majorHAnsi" w:cs="Times New Roman"/>
          <w:bCs/>
          <w:sz w:val="24"/>
          <w:szCs w:val="24"/>
        </w:rPr>
        <w:t xml:space="preserve"> </w:t>
      </w:r>
    </w:p>
    <w:p w14:paraId="102113EF" w14:textId="77777777" w:rsidR="000D4A65" w:rsidRPr="0009687E" w:rsidRDefault="000D4A65" w:rsidP="00303A6C">
      <w:pPr>
        <w:numPr>
          <w:ilvl w:val="0"/>
          <w:numId w:val="48"/>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 xml:space="preserve">Network Effects: DVNs leverage network effects, where the value of the network increases as more participants </w:t>
      </w:r>
      <w:proofErr w:type="gramStart"/>
      <w:r w:rsidRPr="0009687E">
        <w:rPr>
          <w:rFonts w:asciiTheme="majorHAnsi" w:hAnsiTheme="majorHAnsi"/>
          <w:bCs/>
          <w:sz w:val="24"/>
          <w:szCs w:val="24"/>
        </w:rPr>
        <w:t>join</w:t>
      </w:r>
      <w:proofErr w:type="gramEnd"/>
      <w:r w:rsidRPr="0009687E">
        <w:rPr>
          <w:rFonts w:asciiTheme="majorHAnsi" w:hAnsiTheme="majorHAnsi"/>
          <w:bCs/>
          <w:sz w:val="24"/>
          <w:szCs w:val="24"/>
        </w:rPr>
        <w:t xml:space="preserve"> and contribute. This amplifies the benefits of collaboration and fosters a virtuous cycle of value creation within the network.</w:t>
      </w:r>
      <w:r w:rsidRPr="0009687E">
        <w:rPr>
          <w:rFonts w:asciiTheme="majorHAnsi" w:eastAsia="Times New Roman" w:hAnsiTheme="majorHAnsi" w:cs="Times New Roman"/>
          <w:bCs/>
          <w:sz w:val="24"/>
          <w:szCs w:val="24"/>
        </w:rPr>
        <w:t xml:space="preserve"> </w:t>
      </w:r>
    </w:p>
    <w:p w14:paraId="60067111" w14:textId="77777777" w:rsidR="000D4A65" w:rsidRPr="0009687E" w:rsidRDefault="000D4A65" w:rsidP="00303A6C">
      <w:pPr>
        <w:numPr>
          <w:ilvl w:val="0"/>
          <w:numId w:val="48"/>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Co-Creation: Collaboration and co-creation are central to DVNs, with stakeholders collectively contributing their expertise, resources, and perspectives to generate value. Cocreation transcends traditional boundaries and enables the development of innovative solutions that address complex challenges.</w:t>
      </w:r>
      <w:r w:rsidRPr="0009687E">
        <w:rPr>
          <w:rFonts w:asciiTheme="majorHAnsi" w:eastAsia="Times New Roman" w:hAnsiTheme="majorHAnsi" w:cs="Times New Roman"/>
          <w:bCs/>
          <w:sz w:val="24"/>
          <w:szCs w:val="24"/>
        </w:rPr>
        <w:t xml:space="preserve"> </w:t>
      </w:r>
    </w:p>
    <w:p w14:paraId="722C90AF" w14:textId="77777777" w:rsidR="000D4A65" w:rsidRPr="0009687E" w:rsidRDefault="000D4A65" w:rsidP="00303A6C">
      <w:pPr>
        <w:numPr>
          <w:ilvl w:val="0"/>
          <w:numId w:val="48"/>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Mutual Dependencies: DVNs are characterized by mutual dependencies among stakeholders, where the actions and decisions of one participant impact others within the network. This interdependence underscores the importance of trust, transparency, and collaboration in sustaining DVNs.</w:t>
      </w:r>
      <w:r w:rsidRPr="0009687E">
        <w:rPr>
          <w:rFonts w:asciiTheme="majorHAnsi" w:eastAsia="Times New Roman" w:hAnsiTheme="majorHAnsi" w:cs="Times New Roman"/>
          <w:bCs/>
          <w:sz w:val="24"/>
          <w:szCs w:val="24"/>
        </w:rPr>
        <w:t xml:space="preserve"> </w:t>
      </w:r>
    </w:p>
    <w:p w14:paraId="32B77EEA" w14:textId="77777777" w:rsidR="000D4A65" w:rsidRPr="0009687E" w:rsidRDefault="000D4A65" w:rsidP="000D4A65">
      <w:pPr>
        <w:pStyle w:val="Heading2"/>
        <w:ind w:left="-5"/>
        <w:rPr>
          <w:bCs/>
          <w:sz w:val="24"/>
          <w:szCs w:val="24"/>
        </w:rPr>
      </w:pPr>
      <w:bookmarkStart w:id="71" w:name="_Toc168210210"/>
      <w:bookmarkStart w:id="72" w:name="_Toc168210366"/>
      <w:bookmarkStart w:id="73" w:name="_Toc44619"/>
      <w:r w:rsidRPr="0009687E">
        <w:rPr>
          <w:bCs/>
          <w:sz w:val="24"/>
          <w:szCs w:val="24"/>
        </w:rPr>
        <w:t>1.2 Evolution of Value Networks:</w:t>
      </w:r>
      <w:bookmarkEnd w:id="71"/>
      <w:bookmarkEnd w:id="72"/>
      <w:r w:rsidRPr="0009687E">
        <w:rPr>
          <w:bCs/>
          <w:sz w:val="24"/>
          <w:szCs w:val="24"/>
        </w:rPr>
        <w:t xml:space="preserve"> </w:t>
      </w:r>
      <w:r w:rsidRPr="0009687E">
        <w:rPr>
          <w:rFonts w:eastAsia="Times New Roman" w:cs="Times New Roman"/>
          <w:bCs/>
          <w:sz w:val="24"/>
          <w:szCs w:val="24"/>
        </w:rPr>
        <w:t xml:space="preserve"> </w:t>
      </w:r>
      <w:bookmarkEnd w:id="73"/>
    </w:p>
    <w:p w14:paraId="448C9BD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The evolution of value networks represents a profound transformation in the global business landscape, shaped by the forces of digitalization, globalization, and the rise of platform-based business models. This evolution is characterized by a shift from traditional linear value chains to more interconnected and collaborative ecosystems, reflecting changing market dynamics and consumer preferences. This section delves into the evolution of value networks, tracing their development through distinct stages and highlighting the key factors driving their transformation.</w:t>
      </w:r>
      <w:r w:rsidRPr="0009687E">
        <w:rPr>
          <w:rFonts w:asciiTheme="majorHAnsi" w:eastAsia="Times New Roman" w:hAnsiTheme="majorHAnsi" w:cs="Times New Roman"/>
          <w:bCs/>
          <w:sz w:val="24"/>
          <w:szCs w:val="24"/>
        </w:rPr>
        <w:t xml:space="preserve"> </w:t>
      </w:r>
    </w:p>
    <w:p w14:paraId="61446AB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Linear Value Chains: Historically, value creation was conceptualized as a linear process, characterized by sequential and often rigid value chains. In this traditional model, goods and services flowed sequentially from suppliers to manufacturers to distributors to consumers, with each participant adding value along the chain. While linear value chains prioritized efficiency and scale, they often lacked flexibility and responsiveness to changing market demands. Organizations focused on optimizing individual processes within the chain to minimize costs and maximize output, leading to siloed and compartmentalized approaches to value creation.</w:t>
      </w:r>
      <w:r w:rsidRPr="0009687E">
        <w:rPr>
          <w:rFonts w:asciiTheme="majorHAnsi" w:eastAsia="Times New Roman" w:hAnsiTheme="majorHAnsi" w:cs="Times New Roman"/>
          <w:bCs/>
          <w:sz w:val="24"/>
          <w:szCs w:val="24"/>
        </w:rPr>
        <w:t xml:space="preserve"> </w:t>
      </w:r>
    </w:p>
    <w:p w14:paraId="18BECADF"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Emergence of Value Networks: The emergence of digital technologies and globalization disrupted traditional value chains, giving rise to more interconnected and collaborative value networks. Organizations began to recognize the importance of building relationships with suppliers, partners, and customers to enhance agility and innovation. Rather than viewing value creation as a linear process, organizations embraced the concept of value networks, where value is co-created through interactions and exchanges among multiple stakeholders. This shift towards value networks marked a fundamental departure from traditional hierarchical models of value creation, emphasizing the importance of collaboration, trust, and shared value creation.</w:t>
      </w:r>
      <w:r w:rsidRPr="0009687E">
        <w:rPr>
          <w:rFonts w:asciiTheme="majorHAnsi" w:eastAsia="Times New Roman" w:hAnsiTheme="majorHAnsi" w:cs="Times New Roman"/>
          <w:bCs/>
          <w:sz w:val="24"/>
          <w:szCs w:val="24"/>
        </w:rPr>
        <w:t xml:space="preserve"> </w:t>
      </w:r>
    </w:p>
    <w:p w14:paraId="6A797F10"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Dynamic Ecosystems: Today, value networks have evolved into dynamic ecosystems characterized by their adaptive nature and networked structures. These ecosystems transcend traditional organizational boundaries and encompass a diverse array of stakeholders, including customers, suppliers, competitors, and regulators. Organizations operate within complex webs of relationships and interdependencies, where value is co-created and exchanged through dynamic interactions and collaborations. The boundaries between organizations blur as they form strategic partnerships, alliances, and consortia to leverage complementary capabilities and resources. This evolution towards dynamic ecosystems reflects a broader shift towards more open, interconnected, and collaborative forms of value creation in the digital age.</w:t>
      </w:r>
      <w:r w:rsidRPr="0009687E">
        <w:rPr>
          <w:rFonts w:asciiTheme="majorHAnsi" w:eastAsia="Times New Roman" w:hAnsiTheme="majorHAnsi" w:cs="Times New Roman"/>
          <w:bCs/>
          <w:sz w:val="24"/>
          <w:szCs w:val="24"/>
        </w:rPr>
        <w:t xml:space="preserve"> </w:t>
      </w:r>
    </w:p>
    <w:p w14:paraId="520C6F8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Platform-Based Models: The rise of platform-based business models represents the latest stage in the evolution of value networks, facilitated by digital platforms and data-driven technologies. Platforms serve as hubs for collaboration, innovation, and value exchange, enabling ecosystem participants to connect, co-create, and capture value in new ways. Unlike traditional linear value chains, which are characterized by centralized control and coordination, platform-based models empower users to interact and transact directly with each other, bypassing traditional intermediaries. This democratization of value creation and exchange has led to the emergence of new business models and revenue streams, fueled by the power of network effects and </w:t>
      </w:r>
      <w:proofErr w:type="spellStart"/>
      <w:r w:rsidRPr="0009687E">
        <w:rPr>
          <w:rFonts w:asciiTheme="majorHAnsi" w:hAnsiTheme="majorHAnsi"/>
          <w:bCs/>
          <w:sz w:val="24"/>
          <w:szCs w:val="24"/>
        </w:rPr>
        <w:t>datadriven</w:t>
      </w:r>
      <w:proofErr w:type="spellEnd"/>
      <w:r w:rsidRPr="0009687E">
        <w:rPr>
          <w:rFonts w:asciiTheme="majorHAnsi" w:hAnsiTheme="majorHAnsi"/>
          <w:bCs/>
          <w:sz w:val="24"/>
          <w:szCs w:val="24"/>
        </w:rPr>
        <w:t xml:space="preserve"> insights.</w:t>
      </w:r>
      <w:r w:rsidRPr="0009687E">
        <w:rPr>
          <w:rFonts w:asciiTheme="majorHAnsi" w:eastAsia="Times New Roman" w:hAnsiTheme="majorHAnsi" w:cs="Times New Roman"/>
          <w:bCs/>
          <w:sz w:val="24"/>
          <w:szCs w:val="24"/>
        </w:rPr>
        <w:t xml:space="preserve"> </w:t>
      </w:r>
    </w:p>
    <w:p w14:paraId="421FDC19" w14:textId="77777777" w:rsidR="000D4A65" w:rsidRPr="0009687E" w:rsidRDefault="000D4A65" w:rsidP="000D4A65">
      <w:pPr>
        <w:spacing w:after="351"/>
        <w:ind w:left="-5" w:right="3"/>
        <w:rPr>
          <w:rFonts w:asciiTheme="majorHAnsi" w:hAnsiTheme="majorHAnsi"/>
          <w:bCs/>
          <w:sz w:val="24"/>
          <w:szCs w:val="24"/>
        </w:rPr>
      </w:pPr>
      <w:r w:rsidRPr="0009687E">
        <w:rPr>
          <w:rFonts w:asciiTheme="majorHAnsi" w:hAnsiTheme="majorHAnsi"/>
          <w:bCs/>
          <w:sz w:val="24"/>
          <w:szCs w:val="24"/>
        </w:rPr>
        <w:t>In summary, the evolution of value networks reflects a broader shift towards more interconnected, collaborative, and adaptive forms of value creation in today's digital age. From traditional linear value chains to dynamic ecosystems and platform-based models, organizations are embracing new paradigms of value creation that emphasize collaboration, innovation, and shared value. This evolution underscores the ongoing transformation of the global business landscape and the emergence of Dynamic Value Networks (DVNs) as a key enabler of sustainable growth and competitiveness in the networked economy.</w:t>
      </w:r>
      <w:r w:rsidRPr="0009687E">
        <w:rPr>
          <w:rFonts w:asciiTheme="majorHAnsi" w:eastAsia="Times New Roman" w:hAnsiTheme="majorHAnsi" w:cs="Times New Roman"/>
          <w:bCs/>
          <w:sz w:val="24"/>
          <w:szCs w:val="24"/>
        </w:rPr>
        <w:t xml:space="preserve"> </w:t>
      </w:r>
    </w:p>
    <w:p w14:paraId="5B4B7230" w14:textId="77777777" w:rsidR="000D4A65" w:rsidRPr="0009687E" w:rsidRDefault="000D4A65" w:rsidP="000D4A65">
      <w:pPr>
        <w:pStyle w:val="Heading1"/>
        <w:spacing w:after="159"/>
        <w:ind w:left="-5"/>
        <w:rPr>
          <w:bCs/>
          <w:sz w:val="24"/>
          <w:szCs w:val="24"/>
        </w:rPr>
      </w:pPr>
      <w:bookmarkStart w:id="74" w:name="_Toc168210211"/>
      <w:bookmarkStart w:id="75" w:name="_Toc168210367"/>
      <w:bookmarkStart w:id="76" w:name="_Toc44620"/>
      <w:r w:rsidRPr="0009687E">
        <w:rPr>
          <w:bCs/>
          <w:sz w:val="24"/>
          <w:szCs w:val="24"/>
        </w:rPr>
        <w:t>Section 2: Principles of Dynamic Value Networks</w:t>
      </w:r>
      <w:bookmarkEnd w:id="74"/>
      <w:bookmarkEnd w:id="75"/>
      <w:r w:rsidRPr="0009687E">
        <w:rPr>
          <w:rFonts w:eastAsia="Times New Roman" w:cs="Times New Roman"/>
          <w:bCs/>
          <w:sz w:val="24"/>
          <w:szCs w:val="24"/>
        </w:rPr>
        <w:t xml:space="preserve"> </w:t>
      </w:r>
      <w:bookmarkEnd w:id="76"/>
    </w:p>
    <w:p w14:paraId="786883BC" w14:textId="77777777" w:rsidR="000D4A65" w:rsidRPr="0009687E" w:rsidRDefault="000D4A65" w:rsidP="000D4A65">
      <w:pPr>
        <w:pStyle w:val="Heading2"/>
        <w:ind w:left="-5"/>
        <w:rPr>
          <w:bCs/>
          <w:sz w:val="24"/>
          <w:szCs w:val="24"/>
        </w:rPr>
      </w:pPr>
      <w:bookmarkStart w:id="77" w:name="_Toc168210212"/>
      <w:bookmarkStart w:id="78" w:name="_Toc168210368"/>
      <w:bookmarkStart w:id="79" w:name="_Toc44621"/>
      <w:r w:rsidRPr="0009687E">
        <w:rPr>
          <w:bCs/>
          <w:sz w:val="24"/>
          <w:szCs w:val="24"/>
        </w:rPr>
        <w:t>2.1 Network Orchestration</w:t>
      </w:r>
      <w:bookmarkEnd w:id="77"/>
      <w:bookmarkEnd w:id="78"/>
      <w:r w:rsidRPr="0009687E">
        <w:rPr>
          <w:rFonts w:eastAsia="Times New Roman" w:cs="Times New Roman"/>
          <w:bCs/>
          <w:sz w:val="24"/>
          <w:szCs w:val="24"/>
        </w:rPr>
        <w:t xml:space="preserve"> </w:t>
      </w:r>
      <w:bookmarkEnd w:id="79"/>
    </w:p>
    <w:p w14:paraId="5C92BD81"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Network orchestration is a critical function within Dynamic Value Networks (DVNs), playing a pivotal role in facilitating collaboration, coordination, and value creation among diverse stakeholders. Orchestrators, whether they are entities or individuals, are responsible for managing the interactions and relationships within the network, ensuring that all participants work together effectively towards shared goals. The following key principles underpin effective network orchestration within DVNs:</w:t>
      </w:r>
      <w:r w:rsidRPr="0009687E">
        <w:rPr>
          <w:rFonts w:asciiTheme="majorHAnsi" w:eastAsia="Times New Roman" w:hAnsiTheme="majorHAnsi" w:cs="Times New Roman"/>
          <w:bCs/>
          <w:sz w:val="24"/>
          <w:szCs w:val="24"/>
        </w:rPr>
        <w:t xml:space="preserve"> </w:t>
      </w:r>
    </w:p>
    <w:p w14:paraId="047CE19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Trust-Building: Trust is the cornerstone of successful collaboration within DVNs. Orchestrators focus on building trust among network participants by fostering transparency, reliability, and accountability in their interactions. Transparency ensures that stakeholders have access to relevant information and are aware of each other's intentions and capabilities. Reliability involves delivering on commitments and maintaining consistency in behavior and performance. Accountability ensures that stakeholders are held responsible for their actions and decisions, fostering a culture of integrity and trustworthiness within the network.</w:t>
      </w:r>
      <w:r w:rsidRPr="0009687E">
        <w:rPr>
          <w:rFonts w:asciiTheme="majorHAnsi" w:eastAsia="Times New Roman" w:hAnsiTheme="majorHAnsi" w:cs="Times New Roman"/>
          <w:bCs/>
          <w:sz w:val="24"/>
          <w:szCs w:val="24"/>
        </w:rPr>
        <w:t xml:space="preserve"> </w:t>
      </w:r>
    </w:p>
    <w:p w14:paraId="45E754F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Incentive Alignment: Orchestrators align incentives across network participants to encourage cooperation and mutual benefit. This involves identifying shared goals, aligning interests, and designing incentive structures that reward collaborative behavior and value contribution. By aligning incentives, orchestrators create a win-win situation where all stakeholders are motivated to work together towards common objectives. Incentive alignment helps overcome potential conflicts of interest and promotes a sense of collective ownership and responsibility within the network.</w:t>
      </w:r>
      <w:r w:rsidRPr="0009687E">
        <w:rPr>
          <w:rFonts w:asciiTheme="majorHAnsi" w:eastAsia="Times New Roman" w:hAnsiTheme="majorHAnsi" w:cs="Times New Roman"/>
          <w:bCs/>
          <w:sz w:val="24"/>
          <w:szCs w:val="24"/>
        </w:rPr>
        <w:t xml:space="preserve"> </w:t>
      </w:r>
    </w:p>
    <w:p w14:paraId="56B466C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Conflict Resolution: Despite efforts to build trust and align incentives, conflicts may arise within DVNs due to differences in goals, priorities, or perspectives. Orchestrators play a crucial role in facilitating conflict resolution and dispute management to mitigate tensions and maintain harmony within the network. This may involve mediation, negotiation, or the implementation of governance mechanisms to address conflicts of interest or disagreements among stakeholders. By proactively addressing conflicts and promoting constructive dialogue, orchestrators help preserve relationships and foster a culture of collaboration and mutual respect within DVNs.</w:t>
      </w:r>
      <w:r w:rsidRPr="0009687E">
        <w:rPr>
          <w:rFonts w:asciiTheme="majorHAnsi" w:eastAsia="Times New Roman" w:hAnsiTheme="majorHAnsi" w:cs="Times New Roman"/>
          <w:bCs/>
          <w:sz w:val="24"/>
          <w:szCs w:val="24"/>
        </w:rPr>
        <w:t xml:space="preserve"> </w:t>
      </w:r>
    </w:p>
    <w:p w14:paraId="61D76CE1" w14:textId="77777777" w:rsidR="000D4A65" w:rsidRPr="0009687E" w:rsidRDefault="000D4A65" w:rsidP="000D4A65">
      <w:pPr>
        <w:spacing w:after="0"/>
        <w:ind w:left="-5" w:right="3"/>
        <w:rPr>
          <w:rFonts w:asciiTheme="majorHAnsi" w:hAnsiTheme="majorHAnsi"/>
          <w:bCs/>
          <w:sz w:val="24"/>
          <w:szCs w:val="24"/>
        </w:rPr>
      </w:pPr>
      <w:r w:rsidRPr="0009687E">
        <w:rPr>
          <w:rFonts w:asciiTheme="majorHAnsi" w:hAnsiTheme="majorHAnsi"/>
          <w:bCs/>
          <w:sz w:val="24"/>
          <w:szCs w:val="24"/>
        </w:rPr>
        <w:t xml:space="preserve">In summary, effective network orchestration is essential for realizing the full potential of </w:t>
      </w:r>
    </w:p>
    <w:p w14:paraId="2078E15C"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Dynamic Value Networks (DVNs). By focusing on trust-building, incentive alignment, and conflict resolution, orchestrators can create an enabling environment for collaboration, innovation, and value creation within the network. Through their leadership and stewardship, orchestrators play a critical role in guiding DVNs towards sustainable growth and success.</w:t>
      </w:r>
      <w:r w:rsidRPr="0009687E">
        <w:rPr>
          <w:rFonts w:asciiTheme="majorHAnsi" w:eastAsia="Times New Roman" w:hAnsiTheme="majorHAnsi" w:cs="Times New Roman"/>
          <w:bCs/>
          <w:sz w:val="24"/>
          <w:szCs w:val="24"/>
        </w:rPr>
        <w:t xml:space="preserve"> </w:t>
      </w:r>
    </w:p>
    <w:p w14:paraId="586A564B" w14:textId="77777777" w:rsidR="000D4A65" w:rsidRPr="0009687E" w:rsidRDefault="000D4A65" w:rsidP="000D4A65">
      <w:pPr>
        <w:pStyle w:val="Heading2"/>
        <w:ind w:left="-5"/>
        <w:rPr>
          <w:bCs/>
          <w:sz w:val="24"/>
          <w:szCs w:val="24"/>
        </w:rPr>
      </w:pPr>
      <w:bookmarkStart w:id="80" w:name="_Toc168210213"/>
      <w:bookmarkStart w:id="81" w:name="_Toc168210369"/>
      <w:bookmarkStart w:id="82" w:name="_Toc44622"/>
      <w:r w:rsidRPr="0009687E">
        <w:rPr>
          <w:bCs/>
          <w:sz w:val="24"/>
          <w:szCs w:val="24"/>
        </w:rPr>
        <w:t>2.2 Co-Creation and Innovation</w:t>
      </w:r>
      <w:bookmarkEnd w:id="80"/>
      <w:bookmarkEnd w:id="81"/>
      <w:r w:rsidRPr="0009687E">
        <w:rPr>
          <w:rFonts w:eastAsia="Times New Roman" w:cs="Times New Roman"/>
          <w:bCs/>
          <w:sz w:val="24"/>
          <w:szCs w:val="24"/>
        </w:rPr>
        <w:t xml:space="preserve"> </w:t>
      </w:r>
      <w:bookmarkEnd w:id="82"/>
    </w:p>
    <w:p w14:paraId="027D6D3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Dynamic Value Networks (DVNs) provide fertile ground for co-creation and innovation, enabling stakeholders to collaborate on the development of new products, services, and solutions. Co-creation and innovation within DVNs are driven by the following key principles:</w:t>
      </w:r>
      <w:r w:rsidRPr="0009687E">
        <w:rPr>
          <w:rFonts w:asciiTheme="majorHAnsi" w:eastAsia="Times New Roman" w:hAnsiTheme="majorHAnsi" w:cs="Times New Roman"/>
          <w:bCs/>
          <w:sz w:val="24"/>
          <w:szCs w:val="24"/>
        </w:rPr>
        <w:t xml:space="preserve"> </w:t>
      </w:r>
    </w:p>
    <w:p w14:paraId="20D39506"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Open Innovation Platforms: DVNs leverage open innovation platforms as catalysts for collaboration and idea generation. These platforms provide a digital space where stakeholders can share ideas, expertise, and resources to collectively solve problems and generate value. By fostering an open and inclusive environment, open innovation platforms encourage participation from a diverse range of stakeholders, including customers, suppliers, partners, and external experts. This diversity of perspectives enriches the innovation process and increases the likelihood of developing novel and impactful solutions.</w:t>
      </w:r>
      <w:r w:rsidRPr="0009687E">
        <w:rPr>
          <w:rFonts w:asciiTheme="majorHAnsi" w:eastAsia="Times New Roman" w:hAnsiTheme="majorHAnsi" w:cs="Times New Roman"/>
          <w:bCs/>
          <w:sz w:val="24"/>
          <w:szCs w:val="24"/>
        </w:rPr>
        <w:t xml:space="preserve"> </w:t>
      </w:r>
    </w:p>
    <w:p w14:paraId="7008C9F1"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Crowdsourcing: DVNs embrace crowdsourcing as a powerful tool for tapping into the collective intelligence and creativity of a large and diverse group of stakeholders. Crowdsourcing initiatives invite external contributors to contribute ideas, feedback, and solutions to specific challenges or opportunities. By harnessing the wisdom of the crowd, DVNs can access a vast pool of talent, expertise, and creativity that extends beyond traditional organizational boundaries. Crowdsourcing enables DVNs to leverage the collective insights and experiences of stakeholders, resulting in more innovative and robust solutions.</w:t>
      </w:r>
      <w:r w:rsidRPr="0009687E">
        <w:rPr>
          <w:rFonts w:asciiTheme="majorHAnsi" w:eastAsia="Times New Roman" w:hAnsiTheme="majorHAnsi" w:cs="Times New Roman"/>
          <w:bCs/>
          <w:sz w:val="24"/>
          <w:szCs w:val="24"/>
        </w:rPr>
        <w:t xml:space="preserve"> </w:t>
      </w:r>
    </w:p>
    <w:p w14:paraId="1C380D53" w14:textId="77777777" w:rsidR="000D4A65" w:rsidRPr="0009687E" w:rsidRDefault="000D4A65" w:rsidP="000D4A65">
      <w:pPr>
        <w:spacing w:after="0"/>
        <w:ind w:left="-5" w:right="3"/>
        <w:rPr>
          <w:rFonts w:asciiTheme="majorHAnsi" w:hAnsiTheme="majorHAnsi"/>
          <w:bCs/>
          <w:sz w:val="24"/>
          <w:szCs w:val="24"/>
        </w:rPr>
      </w:pPr>
      <w:r w:rsidRPr="0009687E">
        <w:rPr>
          <w:rFonts w:asciiTheme="majorHAnsi" w:hAnsiTheme="majorHAnsi"/>
          <w:bCs/>
          <w:sz w:val="24"/>
          <w:szCs w:val="24"/>
        </w:rPr>
        <w:t xml:space="preserve">Collaborative R&amp;D Initiatives: DVNs foster collaborative research and development (R&amp;D) initiatives to tackle complex challenges and pursue breakthrough innovations. These initiatives bring together stakeholders from different organizations, disciplines, and backgrounds to pool their resources, expertise, and capabilities. By combining complementary strengths and perspectives, collaborative R&amp;D initiatives enable DVNs to address multifaceted problems and explore new opportunities that may be beyond the reach of individual organizations. </w:t>
      </w:r>
    </w:p>
    <w:p w14:paraId="2D63FCD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Collaborative R&amp;D initiatives promote interdisciplinary collaboration, knowledge sharing, and risk-sharing, resulting in accelerated innovation and value creation within the network.</w:t>
      </w:r>
      <w:r w:rsidRPr="0009687E">
        <w:rPr>
          <w:rFonts w:asciiTheme="majorHAnsi" w:eastAsia="Times New Roman" w:hAnsiTheme="majorHAnsi" w:cs="Times New Roman"/>
          <w:bCs/>
          <w:sz w:val="24"/>
          <w:szCs w:val="24"/>
        </w:rPr>
        <w:t xml:space="preserve"> </w:t>
      </w:r>
    </w:p>
    <w:p w14:paraId="6FE7E68C"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In summary, co-creation and innovation are fundamental principles of Dynamic Value Networks (DVNs), enabling stakeholders to collaborate on the development of new products, services, and solutions. By leveraging open innovation platforms, crowdsourcing, and collaborative R&amp;D initiatives, DVNs can harness the collective intelligence and creativity of diverse stakeholders to drive continuous innovation and value creation.</w:t>
      </w:r>
      <w:r w:rsidRPr="0009687E">
        <w:rPr>
          <w:rFonts w:asciiTheme="majorHAnsi" w:eastAsia="Times New Roman" w:hAnsiTheme="majorHAnsi" w:cs="Times New Roman"/>
          <w:bCs/>
          <w:sz w:val="24"/>
          <w:szCs w:val="24"/>
        </w:rPr>
        <w:t xml:space="preserve"> </w:t>
      </w:r>
    </w:p>
    <w:p w14:paraId="2E848145" w14:textId="77777777" w:rsidR="000D4A65" w:rsidRPr="0009687E" w:rsidRDefault="000D4A65" w:rsidP="000D4A65">
      <w:pPr>
        <w:pStyle w:val="Heading2"/>
        <w:ind w:left="-5"/>
        <w:rPr>
          <w:bCs/>
          <w:sz w:val="24"/>
          <w:szCs w:val="24"/>
        </w:rPr>
      </w:pPr>
      <w:bookmarkStart w:id="83" w:name="_Toc168210214"/>
      <w:bookmarkStart w:id="84" w:name="_Toc168210370"/>
      <w:bookmarkStart w:id="85" w:name="_Toc44623"/>
      <w:r w:rsidRPr="0009687E">
        <w:rPr>
          <w:bCs/>
          <w:sz w:val="24"/>
          <w:szCs w:val="24"/>
        </w:rPr>
        <w:t>2.3 Value Capture and Distribution</w:t>
      </w:r>
      <w:bookmarkEnd w:id="83"/>
      <w:bookmarkEnd w:id="84"/>
      <w:r w:rsidRPr="0009687E">
        <w:rPr>
          <w:rFonts w:eastAsia="Times New Roman" w:cs="Times New Roman"/>
          <w:bCs/>
          <w:sz w:val="24"/>
          <w:szCs w:val="24"/>
        </w:rPr>
        <w:t xml:space="preserve"> </w:t>
      </w:r>
      <w:bookmarkEnd w:id="85"/>
    </w:p>
    <w:p w14:paraId="2C600A0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Effective value capture and distribution mechanisms are essential for sustaining Dynamic Value Networks (DVNs) and ensuring equitable outcomes for all stakeholders. The following key principles underpin value capture and distribution within DVNs:</w:t>
      </w:r>
      <w:r w:rsidRPr="0009687E">
        <w:rPr>
          <w:rFonts w:asciiTheme="majorHAnsi" w:eastAsia="Times New Roman" w:hAnsiTheme="majorHAnsi" w:cs="Times New Roman"/>
          <w:bCs/>
          <w:sz w:val="24"/>
          <w:szCs w:val="24"/>
        </w:rPr>
        <w:t xml:space="preserve"> </w:t>
      </w:r>
    </w:p>
    <w:p w14:paraId="7B6CD5A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Revenue-Sharing Models: DVNs implement revenue-sharing models to distribute profits or benefits among network participants based on their contributions to value creation. </w:t>
      </w:r>
      <w:proofErr w:type="spellStart"/>
      <w:proofErr w:type="gramStart"/>
      <w:r w:rsidRPr="0009687E">
        <w:rPr>
          <w:rFonts w:asciiTheme="majorHAnsi" w:hAnsiTheme="majorHAnsi"/>
          <w:bCs/>
          <w:sz w:val="24"/>
          <w:szCs w:val="24"/>
        </w:rPr>
        <w:t>Revenuesharing</w:t>
      </w:r>
      <w:proofErr w:type="spellEnd"/>
      <w:proofErr w:type="gramEnd"/>
      <w:r w:rsidRPr="0009687E">
        <w:rPr>
          <w:rFonts w:asciiTheme="majorHAnsi" w:hAnsiTheme="majorHAnsi"/>
          <w:bCs/>
          <w:sz w:val="24"/>
          <w:szCs w:val="24"/>
        </w:rPr>
        <w:t xml:space="preserve"> arrangements incentivize collaboration and align incentives across stakeholders, ensuring that all parties are fairly rewarded for their contributions. By sharing the rewards of value creation, DVNs foster a sense of collective ownership and responsibility among network participants, driving sustained engagement and commitment to the network's success.</w:t>
      </w:r>
      <w:r w:rsidRPr="0009687E">
        <w:rPr>
          <w:rFonts w:asciiTheme="majorHAnsi" w:eastAsia="Times New Roman" w:hAnsiTheme="majorHAnsi" w:cs="Times New Roman"/>
          <w:bCs/>
          <w:sz w:val="24"/>
          <w:szCs w:val="24"/>
        </w:rPr>
        <w:t xml:space="preserve"> </w:t>
      </w:r>
    </w:p>
    <w:p w14:paraId="194E3DB8"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Value-Based Pricing: DVNs adopt value-based pricing strategies that reflect the perceived value of products or services to different stakeholders. Value-based pricing ensures that prices are aligned with the value delivered, thereby maximizing revenue and enhancing customer satisfaction. By tailoring pricing strategies to the unique needs and preferences of different stakeholders, DVNs can capture maximum value from their offerings while maintaining pricing fairness and transparency.</w:t>
      </w:r>
      <w:r w:rsidRPr="0009687E">
        <w:rPr>
          <w:rFonts w:asciiTheme="majorHAnsi" w:eastAsia="Times New Roman" w:hAnsiTheme="majorHAnsi" w:cs="Times New Roman"/>
          <w:bCs/>
          <w:sz w:val="24"/>
          <w:szCs w:val="24"/>
        </w:rPr>
        <w:t xml:space="preserve"> </w:t>
      </w:r>
    </w:p>
    <w:p w14:paraId="69A276A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Governance Mechanisms: DVNs establish governance mechanisms to govern value capture and distribution processes, ensuring fairness, transparency, and accountability. Governance mechanisms may include contracts, agreements, and decision-making frameworks that outline rights, responsibilities, and dispute resolution procedures. By establishing clear rules and guidelines for value capture and distribution, DVNs mitigate the risk of conflicts and disputes, fostering trust and confidence among network participants.</w:t>
      </w:r>
      <w:r w:rsidRPr="0009687E">
        <w:rPr>
          <w:rFonts w:asciiTheme="majorHAnsi" w:eastAsia="Times New Roman" w:hAnsiTheme="majorHAnsi" w:cs="Times New Roman"/>
          <w:bCs/>
          <w:sz w:val="24"/>
          <w:szCs w:val="24"/>
        </w:rPr>
        <w:t xml:space="preserve"> </w:t>
      </w:r>
    </w:p>
    <w:p w14:paraId="18AF21C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In summary, effective value capture and distribution are essential for sustaining Dynamic Value Networks (DVNs) and ensuring equitable outcomes for all stakeholders. By implementing revenue-sharing models, value-based pricing strategies, and governance mechanisms, DVNs can create an enabling environment for collaboration, innovation, and value creation, driving sustainable growth and success in the networked economy.</w:t>
      </w:r>
      <w:r w:rsidRPr="0009687E">
        <w:rPr>
          <w:rFonts w:asciiTheme="majorHAnsi" w:eastAsia="Times New Roman" w:hAnsiTheme="majorHAnsi" w:cs="Times New Roman"/>
          <w:bCs/>
          <w:sz w:val="24"/>
          <w:szCs w:val="24"/>
        </w:rPr>
        <w:t xml:space="preserve"> </w:t>
      </w:r>
    </w:p>
    <w:p w14:paraId="11B0078B" w14:textId="77777777" w:rsidR="000D4A65" w:rsidRPr="0009687E" w:rsidRDefault="000D4A65" w:rsidP="000D4A65">
      <w:pPr>
        <w:spacing w:after="360"/>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291E2C13" w14:textId="77777777" w:rsidR="000D4A65" w:rsidRPr="0009687E" w:rsidRDefault="000D4A65" w:rsidP="000D4A65">
      <w:pPr>
        <w:pStyle w:val="Heading1"/>
        <w:spacing w:after="156"/>
        <w:ind w:left="-5"/>
        <w:rPr>
          <w:bCs/>
          <w:sz w:val="24"/>
          <w:szCs w:val="24"/>
        </w:rPr>
      </w:pPr>
      <w:bookmarkStart w:id="86" w:name="_Toc168210215"/>
      <w:bookmarkStart w:id="87" w:name="_Toc168210371"/>
      <w:bookmarkStart w:id="88" w:name="_Toc44624"/>
      <w:r w:rsidRPr="0009687E">
        <w:rPr>
          <w:bCs/>
          <w:sz w:val="24"/>
          <w:szCs w:val="24"/>
        </w:rPr>
        <w:t>Section 3: Leveraging Dynamic Value Networks</w:t>
      </w:r>
      <w:bookmarkEnd w:id="86"/>
      <w:bookmarkEnd w:id="87"/>
      <w:r w:rsidRPr="0009687E">
        <w:rPr>
          <w:rFonts w:eastAsia="Times New Roman" w:cs="Times New Roman"/>
          <w:bCs/>
          <w:sz w:val="24"/>
          <w:szCs w:val="24"/>
        </w:rPr>
        <w:t xml:space="preserve"> </w:t>
      </w:r>
      <w:bookmarkEnd w:id="88"/>
    </w:p>
    <w:p w14:paraId="058DA0CF" w14:textId="77777777" w:rsidR="000D4A65" w:rsidRPr="0009687E" w:rsidRDefault="000D4A65" w:rsidP="000D4A65">
      <w:pPr>
        <w:pStyle w:val="Heading2"/>
        <w:ind w:left="-5"/>
        <w:rPr>
          <w:bCs/>
          <w:sz w:val="24"/>
          <w:szCs w:val="24"/>
        </w:rPr>
      </w:pPr>
      <w:bookmarkStart w:id="89" w:name="_Toc168210216"/>
      <w:bookmarkStart w:id="90" w:name="_Toc168210372"/>
      <w:bookmarkStart w:id="91" w:name="_Toc44625"/>
      <w:r w:rsidRPr="0009687E">
        <w:rPr>
          <w:bCs/>
          <w:sz w:val="24"/>
          <w:szCs w:val="24"/>
        </w:rPr>
        <w:t>3.1 Ecosystem Strategy</w:t>
      </w:r>
      <w:bookmarkEnd w:id="89"/>
      <w:bookmarkEnd w:id="90"/>
      <w:r w:rsidRPr="0009687E">
        <w:rPr>
          <w:rFonts w:eastAsia="Times New Roman" w:cs="Times New Roman"/>
          <w:bCs/>
          <w:sz w:val="24"/>
          <w:szCs w:val="24"/>
        </w:rPr>
        <w:t xml:space="preserve"> </w:t>
      </w:r>
      <w:bookmarkEnd w:id="91"/>
    </w:p>
    <w:p w14:paraId="255ED8C0"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An ecosystem-centric approach to business strategy represents a paradigm shift in how organizations conceptualize value creation and capture. It recognizes that value is increasingly co-created and exchanged within interconnected networks of stakeholders, rather than being generated solely within the confines of individual organizations. In the context of Dynamic Value Networks (DVNs), ecosystem strategy emphasizes the importance of leveraging these networks as core drivers of innovation, growth, and competitive advantage.</w:t>
      </w:r>
      <w:r w:rsidRPr="0009687E">
        <w:rPr>
          <w:rFonts w:asciiTheme="majorHAnsi" w:eastAsia="Times New Roman" w:hAnsiTheme="majorHAnsi" w:cs="Times New Roman"/>
          <w:bCs/>
          <w:sz w:val="24"/>
          <w:szCs w:val="24"/>
        </w:rPr>
        <w:t xml:space="preserve"> </w:t>
      </w:r>
    </w:p>
    <w:p w14:paraId="42AE1664"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Ecosystem Leadership:</w:t>
      </w:r>
      <w:r w:rsidRPr="0009687E">
        <w:rPr>
          <w:rFonts w:asciiTheme="majorHAnsi" w:eastAsia="Times New Roman" w:hAnsiTheme="majorHAnsi" w:cs="Times New Roman"/>
          <w:bCs/>
          <w:sz w:val="24"/>
          <w:szCs w:val="24"/>
        </w:rPr>
        <w:t xml:space="preserve"> </w:t>
      </w:r>
    </w:p>
    <w:p w14:paraId="2B9DCF9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At the heart of ecosystem strategy lies the concept of ecosystem leadership. Organizations that embrace this approach recognize that success within DVNs requires more than just participation; it demands active leadership and stewardship. Ecosystem leaders take on the responsibility of guiding and shaping the direction of the network, setting the vision, agenda, and standards for collaboration. They act as catalysts for change, inspiring and motivating diverse stakeholders to work towards shared goals and outcomes.</w:t>
      </w:r>
      <w:r w:rsidRPr="0009687E">
        <w:rPr>
          <w:rFonts w:asciiTheme="majorHAnsi" w:eastAsia="Times New Roman" w:hAnsiTheme="majorHAnsi" w:cs="Times New Roman"/>
          <w:bCs/>
          <w:sz w:val="24"/>
          <w:szCs w:val="24"/>
        </w:rPr>
        <w:t xml:space="preserve"> </w:t>
      </w:r>
    </w:p>
    <w:p w14:paraId="6031EF2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Ecosystem leadership entails a proactive and inclusive approach to engagement, where leaders seek to understand the needs, preferences, and aspirations of all network participants. It involves building trust, fostering collaboration, and cultivating a culture of openness and transparency within the network. Effective ecosystem leaders are adept at navigating complexity, ambiguity, and uncertainty, leveraging their influence and networks to drive meaningful impact and value creation.</w:t>
      </w:r>
      <w:r w:rsidRPr="0009687E">
        <w:rPr>
          <w:rFonts w:asciiTheme="majorHAnsi" w:eastAsia="Times New Roman" w:hAnsiTheme="majorHAnsi" w:cs="Times New Roman"/>
          <w:bCs/>
          <w:sz w:val="24"/>
          <w:szCs w:val="24"/>
        </w:rPr>
        <w:t xml:space="preserve"> </w:t>
      </w:r>
    </w:p>
    <w:p w14:paraId="76B1A64D" w14:textId="77777777" w:rsidR="000D4A65" w:rsidRPr="0009687E" w:rsidRDefault="000D4A65" w:rsidP="000D4A65">
      <w:pPr>
        <w:ind w:left="-5" w:right="3"/>
        <w:rPr>
          <w:rFonts w:asciiTheme="majorHAnsi" w:hAnsiTheme="majorHAnsi"/>
          <w:bCs/>
          <w:sz w:val="24"/>
          <w:szCs w:val="24"/>
        </w:rPr>
      </w:pP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w:t>
      </w:r>
      <w:r w:rsidRPr="0009687E">
        <w:rPr>
          <w:rFonts w:asciiTheme="majorHAnsi" w:eastAsia="Times New Roman" w:hAnsiTheme="majorHAnsi" w:cs="Times New Roman"/>
          <w:bCs/>
          <w:sz w:val="24"/>
          <w:szCs w:val="24"/>
        </w:rPr>
        <w:t xml:space="preserve"> </w:t>
      </w:r>
    </w:p>
    <w:p w14:paraId="1845DC13" w14:textId="77777777" w:rsidR="000D4A65" w:rsidRPr="0009687E" w:rsidRDefault="000D4A65" w:rsidP="000D4A65">
      <w:pPr>
        <w:ind w:left="-5" w:right="3"/>
        <w:rPr>
          <w:rFonts w:asciiTheme="majorHAnsi" w:hAnsiTheme="majorHAnsi"/>
          <w:bCs/>
          <w:sz w:val="24"/>
          <w:szCs w:val="24"/>
        </w:rPr>
      </w:pP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xml:space="preserve"> is a key enabler of ecosystem strategy, facilitating seamless interaction, collaboration, and value exchange within DVNs. Digital platforms serve as central hubs where stakeholders can connect, communicate, and transact, transcending geographical and organizational boundaries. These platforms provide a unified interface for accessing resources, sharing knowledge, and co-creating value, driving efficiency and innovation within the network.</w:t>
      </w:r>
      <w:r w:rsidRPr="0009687E">
        <w:rPr>
          <w:rFonts w:asciiTheme="majorHAnsi" w:eastAsia="Times New Roman" w:hAnsiTheme="majorHAnsi" w:cs="Times New Roman"/>
          <w:bCs/>
          <w:sz w:val="24"/>
          <w:szCs w:val="24"/>
        </w:rPr>
        <w:t xml:space="preserve"> </w:t>
      </w:r>
    </w:p>
    <w:p w14:paraId="4B18815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Organizations that embrace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xml:space="preserve"> recognize the transformative potential of digital technologies in redefining business models and value propositions. They invest in the development and deployment of robust platforms that support diverse use cases and functionalities, catering to the evolving needs and preferences of network participants.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xml:space="preserve"> fosters a culture of experimentation and entrepreneurship, empowering stakeholders to explore new opportunities and business models within the network.</w:t>
      </w:r>
      <w:r w:rsidRPr="0009687E">
        <w:rPr>
          <w:rFonts w:asciiTheme="majorHAnsi" w:eastAsia="Times New Roman" w:hAnsiTheme="majorHAnsi" w:cs="Times New Roman"/>
          <w:bCs/>
          <w:sz w:val="24"/>
          <w:szCs w:val="24"/>
        </w:rPr>
        <w:t xml:space="preserve"> </w:t>
      </w:r>
    </w:p>
    <w:p w14:paraId="0627E36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Ecosystem Governance:</w:t>
      </w:r>
      <w:r w:rsidRPr="0009687E">
        <w:rPr>
          <w:rFonts w:asciiTheme="majorHAnsi" w:eastAsia="Times New Roman" w:hAnsiTheme="majorHAnsi" w:cs="Times New Roman"/>
          <w:bCs/>
          <w:sz w:val="24"/>
          <w:szCs w:val="24"/>
        </w:rPr>
        <w:t xml:space="preserve"> </w:t>
      </w:r>
    </w:p>
    <w:p w14:paraId="434B50E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Effective governance is essential for ensuring the integrity, fairness, and sustainability of DVNs. Ecosystem governance frameworks establish rules, protocols, and decision-making processes that govern interactions, resolve conflicts, and uphold trust within the network. Governance mechanisms provide clarity and certainty, reducing the risk of misunderstandings, disputes, and breakdowns in collaboration.</w:t>
      </w:r>
      <w:r w:rsidRPr="0009687E">
        <w:rPr>
          <w:rFonts w:asciiTheme="majorHAnsi" w:eastAsia="Times New Roman" w:hAnsiTheme="majorHAnsi" w:cs="Times New Roman"/>
          <w:bCs/>
          <w:sz w:val="24"/>
          <w:szCs w:val="24"/>
        </w:rPr>
        <w:t xml:space="preserve"> </w:t>
      </w:r>
    </w:p>
    <w:p w14:paraId="3B6BF5D4"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Ecosystem governance is inherently multi-dimensional, encompassing legal, regulatory, ethical, and cultural considerations. It involves the design and implementation of governance structures that balance the interests and objectives of all network participants, ensuring equitable outcomes and opportunities for value creation. Ecosystem governance requires continuous monitoring and adaptation to evolving dynamics and complexities within the network, fostering a culture of accountability and responsibility among stakeholders.</w:t>
      </w:r>
      <w:r w:rsidRPr="0009687E">
        <w:rPr>
          <w:rFonts w:asciiTheme="majorHAnsi" w:eastAsia="Times New Roman" w:hAnsiTheme="majorHAnsi" w:cs="Times New Roman"/>
          <w:bCs/>
          <w:sz w:val="24"/>
          <w:szCs w:val="24"/>
        </w:rPr>
        <w:t xml:space="preserve"> </w:t>
      </w:r>
    </w:p>
    <w:p w14:paraId="37C2912B"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In summary, ecosystem strategy represents a holistic and proactive approach to value creation and capture within Dynamic Value Networks (DVNs). By embracing ecosystem leadership,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and effective governance, organizations can harness the full potential of DVNs, driving innovation, growth, and competitive advantage in the networked economy.</w:t>
      </w:r>
      <w:r w:rsidRPr="0009687E">
        <w:rPr>
          <w:rFonts w:asciiTheme="majorHAnsi" w:eastAsia="Times New Roman" w:hAnsiTheme="majorHAnsi" w:cs="Times New Roman"/>
          <w:bCs/>
          <w:sz w:val="24"/>
          <w:szCs w:val="24"/>
        </w:rPr>
        <w:t xml:space="preserve"> </w:t>
      </w:r>
    </w:p>
    <w:p w14:paraId="3E47FF94" w14:textId="77777777" w:rsidR="000D4A65" w:rsidRPr="0009687E" w:rsidRDefault="000D4A65" w:rsidP="000D4A65">
      <w:pPr>
        <w:pStyle w:val="Heading2"/>
        <w:ind w:left="-5"/>
        <w:rPr>
          <w:bCs/>
          <w:sz w:val="24"/>
          <w:szCs w:val="24"/>
        </w:rPr>
      </w:pPr>
      <w:bookmarkStart w:id="92" w:name="_Toc168210217"/>
      <w:bookmarkStart w:id="93" w:name="_Toc168210373"/>
      <w:bookmarkStart w:id="94" w:name="_Toc44626"/>
      <w:r w:rsidRPr="0009687E">
        <w:rPr>
          <w:bCs/>
          <w:sz w:val="24"/>
          <w:szCs w:val="24"/>
        </w:rPr>
        <w:t xml:space="preserve">3.2 Digital Transformation and </w:t>
      </w:r>
      <w:proofErr w:type="spellStart"/>
      <w:r w:rsidRPr="0009687E">
        <w:rPr>
          <w:bCs/>
          <w:sz w:val="24"/>
          <w:szCs w:val="24"/>
        </w:rPr>
        <w:t>Platformization</w:t>
      </w:r>
      <w:bookmarkEnd w:id="92"/>
      <w:bookmarkEnd w:id="93"/>
      <w:proofErr w:type="spellEnd"/>
      <w:r w:rsidRPr="0009687E">
        <w:rPr>
          <w:rFonts w:eastAsia="Times New Roman" w:cs="Times New Roman"/>
          <w:bCs/>
          <w:sz w:val="24"/>
          <w:szCs w:val="24"/>
        </w:rPr>
        <w:t xml:space="preserve"> </w:t>
      </w:r>
      <w:bookmarkEnd w:id="94"/>
    </w:p>
    <w:p w14:paraId="6B24AC40"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Digital transformation and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xml:space="preserve"> are key enablers of ecosystem strategy, providing the technological infrastructure and capabilities needed to unlock value within DVNs. This section explores the role of digital technologies in driving innovation, efficiency, and collaboration within DVNs, as well as the opportunities and challenges associated with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w:t>
      </w:r>
      <w:r w:rsidRPr="0009687E">
        <w:rPr>
          <w:rFonts w:asciiTheme="majorHAnsi" w:eastAsia="Times New Roman" w:hAnsiTheme="majorHAnsi" w:cs="Times New Roman"/>
          <w:bCs/>
          <w:sz w:val="24"/>
          <w:szCs w:val="24"/>
        </w:rPr>
        <w:t xml:space="preserve"> </w:t>
      </w:r>
    </w:p>
    <w:p w14:paraId="78F10B22"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Role of Digital Technologies:</w:t>
      </w:r>
      <w:r w:rsidRPr="0009687E">
        <w:rPr>
          <w:rFonts w:asciiTheme="majorHAnsi" w:eastAsia="Times New Roman" w:hAnsiTheme="majorHAnsi" w:cs="Times New Roman"/>
          <w:bCs/>
          <w:sz w:val="24"/>
          <w:szCs w:val="24"/>
        </w:rPr>
        <w:t xml:space="preserve"> </w:t>
      </w:r>
    </w:p>
    <w:p w14:paraId="5245092B"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Digital technologies such as cloud computing, artificial intelligence, and the Internet of Things (IoT) play a central role in enabling and scaling DVNs. These technologies provide the foundation for seamless connectivity, data exchange, and real-time insights across the network, facilitating collaboration, innovation, and value creation. Cloud computing allows organizations to access and deploy resources on-demand, enabling flexibility and scalability within DVNs. Artificial intelligence (AI) enables advanced analytics, predictive modeling, and decision automation, empowering stakeholders to derive actionable insights and optimize processes within the network. The Internet of Things (IoT) connects physical devices and assets, enabling remote monitoring, tracking, and control, enhancing visibility and efficiency within DVNs.</w:t>
      </w:r>
      <w:r w:rsidRPr="0009687E">
        <w:rPr>
          <w:rFonts w:asciiTheme="majorHAnsi" w:eastAsia="Times New Roman" w:hAnsiTheme="majorHAnsi" w:cs="Times New Roman"/>
          <w:bCs/>
          <w:sz w:val="24"/>
          <w:szCs w:val="24"/>
        </w:rPr>
        <w:t xml:space="preserve"> </w:t>
      </w:r>
    </w:p>
    <w:p w14:paraId="3D7D8D2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Digital technologies also facilitate new modes of interaction and engagement within DVNs, enabling stakeholders to connect, communicate, and collaborate in innovative ways. Social media platforms, online marketplaces, and collaborative tools provide channels for sharing knowledge, coordinating activities, and co-creating value, driving efficiency and agility within the network. As digital technologies continue to evolve and mature, organizations must embrace a culture of experimentation and learning, exploring new opportunities and use cases for innovation and value creation within DVNs.</w:t>
      </w:r>
      <w:r w:rsidRPr="0009687E">
        <w:rPr>
          <w:rFonts w:asciiTheme="majorHAnsi" w:eastAsia="Times New Roman" w:hAnsiTheme="majorHAnsi" w:cs="Times New Roman"/>
          <w:bCs/>
          <w:sz w:val="24"/>
          <w:szCs w:val="24"/>
        </w:rPr>
        <w:t xml:space="preserve"> </w:t>
      </w:r>
    </w:p>
    <w:p w14:paraId="149D563B"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Platform Development:</w:t>
      </w:r>
      <w:r w:rsidRPr="0009687E">
        <w:rPr>
          <w:rFonts w:asciiTheme="majorHAnsi" w:eastAsia="Times New Roman" w:hAnsiTheme="majorHAnsi" w:cs="Times New Roman"/>
          <w:bCs/>
          <w:sz w:val="24"/>
          <w:szCs w:val="24"/>
        </w:rPr>
        <w:t xml:space="preserve"> </w:t>
      </w:r>
    </w:p>
    <w:p w14:paraId="7301E45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Central to ecosystem strategy is the development and deployment of digital platforms that serve as central hubs for interaction, collaboration, and value exchange within DVNs. These platforms provide a unified interface for stakeholders to access resources, share knowledge, and transact, driving efficiency and innovation within the network. Platform development involves the design, implementation, and management of scalable and extensible platforms that support diverse use cases and functionalities.</w:t>
      </w:r>
      <w:r w:rsidRPr="0009687E">
        <w:rPr>
          <w:rFonts w:asciiTheme="majorHAnsi" w:eastAsia="Times New Roman" w:hAnsiTheme="majorHAnsi" w:cs="Times New Roman"/>
          <w:bCs/>
          <w:sz w:val="24"/>
          <w:szCs w:val="24"/>
        </w:rPr>
        <w:t xml:space="preserve"> </w:t>
      </w:r>
    </w:p>
    <w:p w14:paraId="2AA174FC"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Organizations must adopt a strategic and user-centric approach to platform development, focusing on the needs, preferences, and aspirations of network participants. They must invest in robust infrastructure, security, and compliance capabilities to ensure the reliability and integrity of the platform. Platform development requires close collaboration between business and technology stakeholders, aligning platform capabilities with strategic objectives and user requirements. As platforms evolve and mature, organizations must continuously monitor and optimize performance, scalability, and usability, adapting to changing market dynamics and user expectations.</w:t>
      </w:r>
      <w:r w:rsidRPr="0009687E">
        <w:rPr>
          <w:rFonts w:asciiTheme="majorHAnsi" w:eastAsia="Times New Roman" w:hAnsiTheme="majorHAnsi" w:cs="Times New Roman"/>
          <w:bCs/>
          <w:sz w:val="24"/>
          <w:szCs w:val="24"/>
        </w:rPr>
        <w:t xml:space="preserve"> </w:t>
      </w:r>
    </w:p>
    <w:p w14:paraId="0F11B4C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Opportunities and Challenges:</w:t>
      </w:r>
      <w:r w:rsidRPr="0009687E">
        <w:rPr>
          <w:rFonts w:asciiTheme="majorHAnsi" w:eastAsia="Times New Roman" w:hAnsiTheme="majorHAnsi" w:cs="Times New Roman"/>
          <w:bCs/>
          <w:sz w:val="24"/>
          <w:szCs w:val="24"/>
        </w:rPr>
        <w:t xml:space="preserve"> </w:t>
      </w:r>
    </w:p>
    <w:p w14:paraId="3551DA5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Digital transformation presents a wealth of opportunities for DVNs to harness the power of technology and innovation in driving value creation and capture. By leveraging digital platforms, organizations can unlock new revenue streams, business models, and ecosystems, expanding their reach and impact in the networked economy. Digital technologies enable organizations to derive actionable insights from data analytics, optimize processes and operations, and personalize experiences for stakeholders within DVNs.</w:t>
      </w:r>
      <w:r w:rsidRPr="0009687E">
        <w:rPr>
          <w:rFonts w:asciiTheme="majorHAnsi" w:eastAsia="Times New Roman" w:hAnsiTheme="majorHAnsi" w:cs="Times New Roman"/>
          <w:bCs/>
          <w:sz w:val="24"/>
          <w:szCs w:val="24"/>
        </w:rPr>
        <w:t xml:space="preserve"> </w:t>
      </w:r>
    </w:p>
    <w:p w14:paraId="2032FCF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However, digital transformation also poses challenges and complexities that organizations must navigate to realize the full potential of DVNs. Data governance issues, including data privacy, security, and compliance, pose significant risks and challenges within DVNs, requiring robust governance frameworks and controls to mitigate. Platform competition and interoperability issues may arise as organizations compete for dominance and market share within DVNs, leading to fragmentation and conflicts. Moreover, concerns related to ethical and responsible use of digital technologies, including algorithmic bias, privacy infringements, and social implications, require careful consideration and mitigation within DVNs.</w:t>
      </w:r>
      <w:r w:rsidRPr="0009687E">
        <w:rPr>
          <w:rFonts w:asciiTheme="majorHAnsi" w:eastAsia="Times New Roman" w:hAnsiTheme="majorHAnsi" w:cs="Times New Roman"/>
          <w:bCs/>
          <w:sz w:val="24"/>
          <w:szCs w:val="24"/>
        </w:rPr>
        <w:t xml:space="preserve"> </w:t>
      </w:r>
    </w:p>
    <w:p w14:paraId="5F1FB878" w14:textId="77777777" w:rsidR="000D4A65" w:rsidRPr="0009687E" w:rsidRDefault="000D4A65" w:rsidP="000D4A65">
      <w:pPr>
        <w:spacing w:after="354"/>
        <w:ind w:left="-5" w:right="3"/>
        <w:rPr>
          <w:rFonts w:asciiTheme="majorHAnsi" w:hAnsiTheme="majorHAnsi"/>
          <w:bCs/>
          <w:sz w:val="24"/>
          <w:szCs w:val="24"/>
        </w:rPr>
      </w:pPr>
      <w:r w:rsidRPr="0009687E">
        <w:rPr>
          <w:rFonts w:asciiTheme="majorHAnsi" w:hAnsiTheme="majorHAnsi"/>
          <w:bCs/>
          <w:sz w:val="24"/>
          <w:szCs w:val="24"/>
        </w:rPr>
        <w:t xml:space="preserve">In summary, digital transformation and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xml:space="preserve"> are instrumental in enabling and scaling Dynamic Value Networks (DVNs), unlocking new opportunities for innovation, growth, and collaboration. By embracing digital technologies and platform development, organizations can harness the full potential of DVNs, driving value creation and competitive advantage in the networked economy. However, they must also address the challenges and complexities associated with digital transformation, including data governance, platform competition, and ethical considerations, to ensure the integrity and sustainability of DVNs.</w:t>
      </w:r>
      <w:r w:rsidRPr="0009687E">
        <w:rPr>
          <w:rFonts w:asciiTheme="majorHAnsi" w:eastAsia="Times New Roman" w:hAnsiTheme="majorHAnsi" w:cs="Times New Roman"/>
          <w:bCs/>
          <w:sz w:val="24"/>
          <w:szCs w:val="24"/>
        </w:rPr>
        <w:t xml:space="preserve"> </w:t>
      </w:r>
    </w:p>
    <w:p w14:paraId="5EF4AF87" w14:textId="77777777" w:rsidR="000D4A65" w:rsidRPr="0009687E" w:rsidRDefault="000D4A65" w:rsidP="000D4A65">
      <w:pPr>
        <w:pStyle w:val="Heading1"/>
        <w:ind w:left="-5"/>
        <w:rPr>
          <w:bCs/>
          <w:sz w:val="24"/>
          <w:szCs w:val="24"/>
        </w:rPr>
      </w:pPr>
      <w:bookmarkStart w:id="95" w:name="_Toc168210218"/>
      <w:bookmarkStart w:id="96" w:name="_Toc168210374"/>
      <w:bookmarkStart w:id="97" w:name="_Toc44627"/>
      <w:r w:rsidRPr="0009687E">
        <w:rPr>
          <w:bCs/>
          <w:sz w:val="24"/>
          <w:szCs w:val="24"/>
        </w:rPr>
        <w:t>Section 4: Collaborative Partnership Development</w:t>
      </w:r>
      <w:bookmarkEnd w:id="95"/>
      <w:bookmarkEnd w:id="96"/>
      <w:r w:rsidRPr="0009687E">
        <w:rPr>
          <w:rFonts w:eastAsia="Times New Roman" w:cs="Times New Roman"/>
          <w:bCs/>
          <w:sz w:val="24"/>
          <w:szCs w:val="24"/>
        </w:rPr>
        <w:t xml:space="preserve"> </w:t>
      </w:r>
      <w:bookmarkEnd w:id="97"/>
    </w:p>
    <w:p w14:paraId="6BFEC95F"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Implementing Dynamic Value Networks (DVNs) necessitates the cultivation of collaborative partnerships with stakeholders across the network. Effective partnership development relies on several key principles and strategies:</w:t>
      </w:r>
      <w:r w:rsidRPr="0009687E">
        <w:rPr>
          <w:rFonts w:asciiTheme="majorHAnsi" w:eastAsia="Times New Roman" w:hAnsiTheme="majorHAnsi" w:cs="Times New Roman"/>
          <w:bCs/>
          <w:sz w:val="24"/>
          <w:szCs w:val="24"/>
        </w:rPr>
        <w:t xml:space="preserve"> </w:t>
      </w:r>
    </w:p>
    <w:p w14:paraId="288040F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Stakeholder Engagement:</w:t>
      </w:r>
      <w:r w:rsidRPr="0009687E">
        <w:rPr>
          <w:rFonts w:asciiTheme="majorHAnsi" w:eastAsia="Times New Roman" w:hAnsiTheme="majorHAnsi" w:cs="Times New Roman"/>
          <w:bCs/>
          <w:sz w:val="24"/>
          <w:szCs w:val="24"/>
        </w:rPr>
        <w:t xml:space="preserve"> </w:t>
      </w:r>
    </w:p>
    <w:p w14:paraId="5B491C8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Organizations must actively engage with stakeholders to foster trust, alignment, and collaboration within DVNs. This entails conducting thorough stakeholder analyses to identify key players, understand their interests and concerns, and assess their potential contributions to the network. Mapping interdependencies among stakeholders helps organizations identify areas of mutual benefit and collaboration opportunities. Establishing clear communication channels and feedback mechanisms facilitates ongoing dialogue and collaboration, enabling stakeholders to co-create value and achieve shared goals.</w:t>
      </w:r>
      <w:r w:rsidRPr="0009687E">
        <w:rPr>
          <w:rFonts w:asciiTheme="majorHAnsi" w:eastAsia="Times New Roman" w:hAnsiTheme="majorHAnsi" w:cs="Times New Roman"/>
          <w:bCs/>
          <w:sz w:val="24"/>
          <w:szCs w:val="24"/>
        </w:rPr>
        <w:t xml:space="preserve"> </w:t>
      </w:r>
    </w:p>
    <w:p w14:paraId="1ED7FD86"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Partnership Formation:</w:t>
      </w:r>
      <w:r w:rsidRPr="0009687E">
        <w:rPr>
          <w:rFonts w:asciiTheme="majorHAnsi" w:eastAsia="Times New Roman" w:hAnsiTheme="majorHAnsi" w:cs="Times New Roman"/>
          <w:bCs/>
          <w:sz w:val="24"/>
          <w:szCs w:val="24"/>
        </w:rPr>
        <w:t xml:space="preserve"> </w:t>
      </w:r>
    </w:p>
    <w:p w14:paraId="5F25C40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Strategic partnerships form the foundation of DVNs, enabling organizations to leverage complementary capabilities, resources, and expertise. Organizations must carefully evaluate potential partners based on their strategic fit, cultural alignment, and commitment to shared objectives. Partnerships may take various forms, including joint ventures, strategic alliances, and consortia, depending on the nature of the collaboration and the desired outcomes. Clear agreements and governance structures help formalize partnerships, delineating roles, responsibilities, and decision-making processes to ensure effective collaboration and value creation.</w:t>
      </w:r>
      <w:r w:rsidRPr="0009687E">
        <w:rPr>
          <w:rFonts w:asciiTheme="majorHAnsi" w:eastAsia="Times New Roman" w:hAnsiTheme="majorHAnsi" w:cs="Times New Roman"/>
          <w:bCs/>
          <w:sz w:val="24"/>
          <w:szCs w:val="24"/>
        </w:rPr>
        <w:t xml:space="preserve"> </w:t>
      </w:r>
    </w:p>
    <w:p w14:paraId="46DE7C9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Relationship Management:</w:t>
      </w:r>
      <w:r w:rsidRPr="0009687E">
        <w:rPr>
          <w:rFonts w:asciiTheme="majorHAnsi" w:eastAsia="Times New Roman" w:hAnsiTheme="majorHAnsi" w:cs="Times New Roman"/>
          <w:bCs/>
          <w:sz w:val="24"/>
          <w:szCs w:val="24"/>
        </w:rPr>
        <w:t xml:space="preserve"> </w:t>
      </w:r>
    </w:p>
    <w:p w14:paraId="605F69B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Nurturing and sustaining collaborative partnerships </w:t>
      </w:r>
      <w:proofErr w:type="gramStart"/>
      <w:r w:rsidRPr="0009687E">
        <w:rPr>
          <w:rFonts w:asciiTheme="majorHAnsi" w:hAnsiTheme="majorHAnsi"/>
          <w:bCs/>
          <w:sz w:val="24"/>
          <w:szCs w:val="24"/>
        </w:rPr>
        <w:t>requires</w:t>
      </w:r>
      <w:proofErr w:type="gramEnd"/>
      <w:r w:rsidRPr="0009687E">
        <w:rPr>
          <w:rFonts w:asciiTheme="majorHAnsi" w:hAnsiTheme="majorHAnsi"/>
          <w:bCs/>
          <w:sz w:val="24"/>
          <w:szCs w:val="24"/>
        </w:rPr>
        <w:t xml:space="preserve"> ongoing relationship management efforts. Organizations must invest in building strong and mutually beneficial relationships with partners, characterized by open communication, trust, and transparency. Regular engagement activities, such as meetings, workshops, and performance reviews, help maintain alignment and address any issues or challenges that may arise. Feedback mechanisms enable partners to provide input, share insights, and co-create solutions, fostering a culture of continuous improvement and innovation within DVNs.</w:t>
      </w:r>
      <w:r w:rsidRPr="0009687E">
        <w:rPr>
          <w:rFonts w:asciiTheme="majorHAnsi" w:eastAsia="Times New Roman" w:hAnsiTheme="majorHAnsi" w:cs="Times New Roman"/>
          <w:bCs/>
          <w:sz w:val="24"/>
          <w:szCs w:val="24"/>
        </w:rPr>
        <w:t xml:space="preserve"> </w:t>
      </w:r>
    </w:p>
    <w:p w14:paraId="4767E47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In summary, effective partnership development is essential for implementing DVNs, enabling organizations to harness the collective capabilities and resources of stakeholders to drive innovation and value creation in the networked economy.</w:t>
      </w:r>
      <w:r w:rsidRPr="0009687E">
        <w:rPr>
          <w:rFonts w:asciiTheme="majorHAnsi" w:eastAsia="Times New Roman" w:hAnsiTheme="majorHAnsi" w:cs="Times New Roman"/>
          <w:bCs/>
          <w:sz w:val="24"/>
          <w:szCs w:val="24"/>
        </w:rPr>
        <w:t xml:space="preserve"> </w:t>
      </w:r>
    </w:p>
    <w:p w14:paraId="77B50957" w14:textId="77777777" w:rsidR="000D4A65" w:rsidRPr="0009687E" w:rsidRDefault="000D4A65" w:rsidP="000D4A65">
      <w:pPr>
        <w:pStyle w:val="Heading2"/>
        <w:ind w:left="-5"/>
        <w:rPr>
          <w:bCs/>
          <w:sz w:val="24"/>
          <w:szCs w:val="24"/>
        </w:rPr>
      </w:pPr>
      <w:bookmarkStart w:id="98" w:name="_Toc168210219"/>
      <w:bookmarkStart w:id="99" w:name="_Toc168210375"/>
      <w:bookmarkStart w:id="100" w:name="_Toc44628"/>
      <w:r w:rsidRPr="0009687E">
        <w:rPr>
          <w:bCs/>
          <w:sz w:val="24"/>
          <w:szCs w:val="24"/>
        </w:rPr>
        <w:t>4.1 Agile Governance and Decision-Making</w:t>
      </w:r>
      <w:bookmarkEnd w:id="98"/>
      <w:bookmarkEnd w:id="99"/>
      <w:r w:rsidRPr="0009687E">
        <w:rPr>
          <w:rFonts w:eastAsia="Times New Roman" w:cs="Times New Roman"/>
          <w:bCs/>
          <w:sz w:val="24"/>
          <w:szCs w:val="24"/>
        </w:rPr>
        <w:t xml:space="preserve"> </w:t>
      </w:r>
      <w:bookmarkEnd w:id="100"/>
    </w:p>
    <w:p w14:paraId="7734337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Agile governance and decision-making processes are critical for effectively managing DVNs and responding to dynamic market conditions. This involves adopting principles and practices that promote agility, adaptability, and responsiveness within the network:</w:t>
      </w:r>
      <w:r w:rsidRPr="0009687E">
        <w:rPr>
          <w:rFonts w:asciiTheme="majorHAnsi" w:eastAsia="Times New Roman" w:hAnsiTheme="majorHAnsi" w:cs="Times New Roman"/>
          <w:bCs/>
          <w:sz w:val="24"/>
          <w:szCs w:val="24"/>
        </w:rPr>
        <w:t xml:space="preserve"> </w:t>
      </w:r>
    </w:p>
    <w:p w14:paraId="28A6FC3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Decentralized Decision-Making:</w:t>
      </w:r>
      <w:r w:rsidRPr="0009687E">
        <w:rPr>
          <w:rFonts w:asciiTheme="majorHAnsi" w:eastAsia="Times New Roman" w:hAnsiTheme="majorHAnsi" w:cs="Times New Roman"/>
          <w:bCs/>
          <w:sz w:val="24"/>
          <w:szCs w:val="24"/>
        </w:rPr>
        <w:t xml:space="preserve"> </w:t>
      </w:r>
    </w:p>
    <w:p w14:paraId="29270621"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Organizations embrace decentralized decision-making structures that empower network participants to make timely and informed decisions at the local level. Decentralization promotes agility and autonomy within DVNs, enabling stakeholders to respond quickly to emerging opportunities and challenges. By distributing decision-making authority across the network, organizations foster a sense of ownership and accountability among stakeholders, driving innovation and flexibility in decision-making processes.</w:t>
      </w:r>
      <w:r w:rsidRPr="0009687E">
        <w:rPr>
          <w:rFonts w:asciiTheme="majorHAnsi" w:eastAsia="Times New Roman" w:hAnsiTheme="majorHAnsi" w:cs="Times New Roman"/>
          <w:bCs/>
          <w:sz w:val="24"/>
          <w:szCs w:val="24"/>
        </w:rPr>
        <w:t xml:space="preserve"> </w:t>
      </w:r>
    </w:p>
    <w:p w14:paraId="5922D74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Iterative Planning and Review:</w:t>
      </w:r>
      <w:r w:rsidRPr="0009687E">
        <w:rPr>
          <w:rFonts w:asciiTheme="majorHAnsi" w:eastAsia="Times New Roman" w:hAnsiTheme="majorHAnsi" w:cs="Times New Roman"/>
          <w:bCs/>
          <w:sz w:val="24"/>
          <w:szCs w:val="24"/>
        </w:rPr>
        <w:t xml:space="preserve"> </w:t>
      </w:r>
    </w:p>
    <w:p w14:paraId="28A9E74F"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Iterative planning and review processes are integral to agile governance within DVNs. Organizations embrace iterative planning techniques, such as Agile, Scrum, and Kanban, to continuously assess performance, identify opportunities, and adjust strategies in real-time. Regular retrospectives and feedback loops enable organizations to reflect on past experiences, learn from mistakes, and adapt their approaches to better align with changing market dynamics and stakeholder needs. Adaptive planning techniques allow organizations to respond quickly to feedback and incorporate new insights into their decision-making processes, fostering continuous improvement and innovation within DVNs.</w:t>
      </w:r>
      <w:r w:rsidRPr="0009687E">
        <w:rPr>
          <w:rFonts w:asciiTheme="majorHAnsi" w:eastAsia="Times New Roman" w:hAnsiTheme="majorHAnsi" w:cs="Times New Roman"/>
          <w:bCs/>
          <w:sz w:val="24"/>
          <w:szCs w:val="24"/>
        </w:rPr>
        <w:t xml:space="preserve"> </w:t>
      </w:r>
    </w:p>
    <w:p w14:paraId="191B88BC"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Adaptive Governance Mechanisms:</w:t>
      </w:r>
      <w:r w:rsidRPr="0009687E">
        <w:rPr>
          <w:rFonts w:asciiTheme="majorHAnsi" w:eastAsia="Times New Roman" w:hAnsiTheme="majorHAnsi" w:cs="Times New Roman"/>
          <w:bCs/>
          <w:sz w:val="24"/>
          <w:szCs w:val="24"/>
        </w:rPr>
        <w:t xml:space="preserve"> </w:t>
      </w:r>
    </w:p>
    <w:p w14:paraId="50594F44"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Implementing adaptive governance mechanisms is essential for maintaining alignment and coherence within DVNs. Organizations develop dynamic governance frameworks, agile project management methodologies, and governance-as-a-service models that enable flexible, scalable, and responsive governance structures. These mechanisms allow organizations to adapt their governance processes to evolving network dynamics, ensuring that governance practices remain relevant and effective in supporting collaborative value creation and capture. By embracing adaptive governance, organizations can balance autonomy and alignment within DVNs, enabling stakeholders to collaborate effectively while maintaining strategic coherence and direction.</w:t>
      </w:r>
      <w:r w:rsidRPr="0009687E">
        <w:rPr>
          <w:rFonts w:asciiTheme="majorHAnsi" w:eastAsia="Times New Roman" w:hAnsiTheme="majorHAnsi" w:cs="Times New Roman"/>
          <w:bCs/>
          <w:sz w:val="24"/>
          <w:szCs w:val="24"/>
        </w:rPr>
        <w:t xml:space="preserve"> </w:t>
      </w:r>
    </w:p>
    <w:p w14:paraId="0D42BBAC"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In summary, agile governance and decision-making processes are essential for effectively managing DVNs and enabling adaptive responses to changing market conditions. By embracing decentralized decision-making, iterative planning, and adaptive governance mechanisms, organizations can foster agility, innovation, and resilience within DVNs, driving sustainable value creation and competitive advantage.</w:t>
      </w:r>
      <w:r w:rsidRPr="0009687E">
        <w:rPr>
          <w:rFonts w:asciiTheme="majorHAnsi" w:eastAsia="Times New Roman" w:hAnsiTheme="majorHAnsi" w:cs="Times New Roman"/>
          <w:bCs/>
          <w:sz w:val="24"/>
          <w:szCs w:val="24"/>
        </w:rPr>
        <w:t xml:space="preserve"> </w:t>
      </w:r>
    </w:p>
    <w:p w14:paraId="54267266" w14:textId="77777777" w:rsidR="000D4A65" w:rsidRPr="0009687E" w:rsidRDefault="000D4A65" w:rsidP="000D4A65">
      <w:pPr>
        <w:pStyle w:val="Heading2"/>
        <w:ind w:left="-5"/>
        <w:rPr>
          <w:bCs/>
          <w:sz w:val="24"/>
          <w:szCs w:val="24"/>
        </w:rPr>
      </w:pPr>
      <w:bookmarkStart w:id="101" w:name="_Toc168210220"/>
      <w:bookmarkStart w:id="102" w:name="_Toc168210376"/>
      <w:bookmarkStart w:id="103" w:name="_Toc44629"/>
      <w:r w:rsidRPr="0009687E">
        <w:rPr>
          <w:bCs/>
          <w:sz w:val="24"/>
          <w:szCs w:val="24"/>
        </w:rPr>
        <w:t>4.2 Data-driven Insights and Analytics</w:t>
      </w:r>
      <w:bookmarkEnd w:id="101"/>
      <w:bookmarkEnd w:id="102"/>
      <w:r w:rsidRPr="0009687E">
        <w:rPr>
          <w:rFonts w:eastAsia="Times New Roman" w:cs="Times New Roman"/>
          <w:bCs/>
          <w:sz w:val="24"/>
          <w:szCs w:val="24"/>
        </w:rPr>
        <w:t xml:space="preserve"> </w:t>
      </w:r>
      <w:bookmarkEnd w:id="103"/>
    </w:p>
    <w:p w14:paraId="61FFA6B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Harnessing data-driven insights and analytics is critical for optimizing performance, enhancing decision-making, and driving innovation within DVNs. This involves leveraging data and analytics to derive actionable insights, measure performance, and drive continuous improvement:</w:t>
      </w:r>
      <w:r w:rsidRPr="0009687E">
        <w:rPr>
          <w:rFonts w:asciiTheme="majorHAnsi" w:eastAsia="Times New Roman" w:hAnsiTheme="majorHAnsi" w:cs="Times New Roman"/>
          <w:bCs/>
          <w:sz w:val="24"/>
          <w:szCs w:val="24"/>
        </w:rPr>
        <w:t xml:space="preserve"> </w:t>
      </w:r>
    </w:p>
    <w:p w14:paraId="27ACB23F"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Data Integration and Analysis:</w:t>
      </w:r>
      <w:r w:rsidRPr="0009687E">
        <w:rPr>
          <w:rFonts w:asciiTheme="majorHAnsi" w:eastAsia="Times New Roman" w:hAnsiTheme="majorHAnsi" w:cs="Times New Roman"/>
          <w:bCs/>
          <w:sz w:val="24"/>
          <w:szCs w:val="24"/>
        </w:rPr>
        <w:t xml:space="preserve"> </w:t>
      </w:r>
    </w:p>
    <w:p w14:paraId="273EF1F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Organizations integrate data from various sources within DVNs to gain a comprehensive understanding of network performance, stakeholder interactions, and value creation opportunities. This involves collecting, storing, and analyzing data from internal and external sources, such as transactional data, customer feedback, and market trends. Advanced analytics techniques, including machine learning, predictive modeling, and network analysis, enable organizations to extract actionable insights from data, identify patterns and trends, and make informed decisions to drive value creation and capture within DVNs.</w:t>
      </w:r>
      <w:r w:rsidRPr="0009687E">
        <w:rPr>
          <w:rFonts w:asciiTheme="majorHAnsi" w:eastAsia="Times New Roman" w:hAnsiTheme="majorHAnsi" w:cs="Times New Roman"/>
          <w:bCs/>
          <w:sz w:val="24"/>
          <w:szCs w:val="24"/>
        </w:rPr>
        <w:t xml:space="preserve"> </w:t>
      </w:r>
    </w:p>
    <w:p w14:paraId="34D4FA0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Performance Measurement and KPIs:</w:t>
      </w:r>
      <w:r w:rsidRPr="0009687E">
        <w:rPr>
          <w:rFonts w:asciiTheme="majorHAnsi" w:eastAsia="Times New Roman" w:hAnsiTheme="majorHAnsi" w:cs="Times New Roman"/>
          <w:bCs/>
          <w:sz w:val="24"/>
          <w:szCs w:val="24"/>
        </w:rPr>
        <w:t xml:space="preserve"> </w:t>
      </w:r>
    </w:p>
    <w:p w14:paraId="6988B6F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Defining key performance indicators (KPIs) and metrics is essential for tracking and evaluating the effectiveness of DVNs. Organizations develop KPIs that align with strategic objectives and reflect the desired outcomes of collaborative efforts within the network. These KPIs may include measures of network efficiency, collaboration effectiveness, and value generation across different dimensions, enabling organizations to assess performance, identify areas for improvement, and optimize strategies and processes within DVNs. Performance measurement enables organizations to demonstrate the impact of DVNs, communicate value to stakeholders, and drive accountability and continuous improvement across the network.</w:t>
      </w:r>
      <w:r w:rsidRPr="0009687E">
        <w:rPr>
          <w:rFonts w:asciiTheme="majorHAnsi" w:eastAsia="Times New Roman" w:hAnsiTheme="majorHAnsi" w:cs="Times New Roman"/>
          <w:bCs/>
          <w:sz w:val="24"/>
          <w:szCs w:val="24"/>
        </w:rPr>
        <w:t xml:space="preserve"> </w:t>
      </w:r>
    </w:p>
    <w:p w14:paraId="3CDFBBBB"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Continuous Improvement:</w:t>
      </w:r>
      <w:r w:rsidRPr="0009687E">
        <w:rPr>
          <w:rFonts w:asciiTheme="majorHAnsi" w:eastAsia="Times New Roman" w:hAnsiTheme="majorHAnsi" w:cs="Times New Roman"/>
          <w:bCs/>
          <w:sz w:val="24"/>
          <w:szCs w:val="24"/>
        </w:rPr>
        <w:t xml:space="preserve"> </w:t>
      </w:r>
    </w:p>
    <w:p w14:paraId="6E31CFE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Fostering a culture of continuous improvement is essential for driving innovation and value creation within DVNs. Organizations leverage data-driven insights to drive iterative experimentation, innovation, and learning within the network. This involves encouraging a mindset of curiosity, experimentation, and data-driven decision-making among network participants, empowering stakeholders to explore new opportunities, experiment with new approaches, and learn from successes and failures. By embracing a culture of continuous improvement, organizations can adapt and evolve in response to changing market dynamics and stakeholder needs, driving sustained innovation and competitive advantage within DVNs.</w:t>
      </w:r>
      <w:r w:rsidRPr="0009687E">
        <w:rPr>
          <w:rFonts w:asciiTheme="majorHAnsi" w:eastAsia="Times New Roman" w:hAnsiTheme="majorHAnsi" w:cs="Times New Roman"/>
          <w:bCs/>
          <w:sz w:val="24"/>
          <w:szCs w:val="24"/>
        </w:rPr>
        <w:t xml:space="preserve"> </w:t>
      </w:r>
    </w:p>
    <w:p w14:paraId="080171AA" w14:textId="77777777" w:rsidR="000D4A65" w:rsidRPr="0009687E" w:rsidRDefault="000D4A65" w:rsidP="000D4A65">
      <w:pPr>
        <w:spacing w:after="351"/>
        <w:ind w:left="-5" w:right="3"/>
        <w:rPr>
          <w:rFonts w:asciiTheme="majorHAnsi" w:hAnsiTheme="majorHAnsi"/>
          <w:bCs/>
          <w:sz w:val="24"/>
          <w:szCs w:val="24"/>
        </w:rPr>
      </w:pPr>
      <w:r w:rsidRPr="0009687E">
        <w:rPr>
          <w:rFonts w:asciiTheme="majorHAnsi" w:hAnsiTheme="majorHAnsi"/>
          <w:bCs/>
          <w:sz w:val="24"/>
          <w:szCs w:val="24"/>
        </w:rPr>
        <w:t>In summary, harnessing data-driven insights and analytics is essential for optimizing performance, enhancing decision-making, and driving innovation within DVNs. By integrating data from various sources, defining relevant KPIs, and fostering a culture of continuous improvement, organizations can leverage data-driven insights to unlock the full potential of DVNs, driving sustainable value creation and competitive advantage in the networked economy.</w:t>
      </w:r>
      <w:r w:rsidRPr="0009687E">
        <w:rPr>
          <w:rFonts w:asciiTheme="majorHAnsi" w:eastAsia="Times New Roman" w:hAnsiTheme="majorHAnsi" w:cs="Times New Roman"/>
          <w:bCs/>
          <w:sz w:val="24"/>
          <w:szCs w:val="24"/>
        </w:rPr>
        <w:t xml:space="preserve"> </w:t>
      </w:r>
    </w:p>
    <w:p w14:paraId="3A7248C5" w14:textId="77777777" w:rsidR="000D4A65" w:rsidRPr="0009687E" w:rsidRDefault="000D4A65" w:rsidP="000D4A65">
      <w:pPr>
        <w:pStyle w:val="Heading1"/>
        <w:ind w:left="-5"/>
        <w:rPr>
          <w:bCs/>
          <w:sz w:val="24"/>
          <w:szCs w:val="24"/>
        </w:rPr>
      </w:pPr>
      <w:bookmarkStart w:id="104" w:name="_Toc168210221"/>
      <w:bookmarkStart w:id="105" w:name="_Toc168210377"/>
      <w:bookmarkStart w:id="106" w:name="_Toc44630"/>
      <w:r w:rsidRPr="0009687E">
        <w:rPr>
          <w:bCs/>
          <w:sz w:val="24"/>
          <w:szCs w:val="24"/>
        </w:rPr>
        <w:t>Section 5:  Risk Identification and Assessment</w:t>
      </w:r>
      <w:bookmarkEnd w:id="104"/>
      <w:bookmarkEnd w:id="105"/>
      <w:r w:rsidRPr="0009687E">
        <w:rPr>
          <w:rFonts w:eastAsia="Times New Roman" w:cs="Times New Roman"/>
          <w:bCs/>
          <w:sz w:val="24"/>
          <w:szCs w:val="24"/>
        </w:rPr>
        <w:t xml:space="preserve"> </w:t>
      </w:r>
      <w:bookmarkEnd w:id="106"/>
    </w:p>
    <w:p w14:paraId="4D5E8861"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Effective risk management is crucial for the resilience and sustainability of DVNs. This involves a systematic approach to identifying, assessing, and mitigating risks within the network:</w:t>
      </w:r>
      <w:r w:rsidRPr="0009687E">
        <w:rPr>
          <w:rFonts w:asciiTheme="majorHAnsi" w:eastAsia="Times New Roman" w:hAnsiTheme="majorHAnsi" w:cs="Times New Roman"/>
          <w:bCs/>
          <w:sz w:val="24"/>
          <w:szCs w:val="24"/>
        </w:rPr>
        <w:t xml:space="preserve"> </w:t>
      </w:r>
    </w:p>
    <w:p w14:paraId="3EA2D0C6"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Risk Identification:</w:t>
      </w:r>
      <w:r w:rsidRPr="0009687E">
        <w:rPr>
          <w:rFonts w:asciiTheme="majorHAnsi" w:eastAsia="Times New Roman" w:hAnsiTheme="majorHAnsi" w:cs="Times New Roman"/>
          <w:bCs/>
          <w:sz w:val="24"/>
          <w:szCs w:val="24"/>
        </w:rPr>
        <w:t xml:space="preserve"> </w:t>
      </w:r>
    </w:p>
    <w:p w14:paraId="0730061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Organizations conduct comprehensive risk assessments to identify potential threats and vulnerabilities within DVNs. This entails analyzing both internal and external factors that may impact network performance and value creation. Internal factors may include organizational structure, capabilities, and processes, while external factors may encompass market volatility, regulatory changes, cybersecurity threats, and supply chain disruptions. By identifying and understanding these risks, organizations can proactively manage and mitigate potential challenges within the network.</w:t>
      </w:r>
      <w:r w:rsidRPr="0009687E">
        <w:rPr>
          <w:rFonts w:asciiTheme="majorHAnsi" w:eastAsia="Times New Roman" w:hAnsiTheme="majorHAnsi" w:cs="Times New Roman"/>
          <w:bCs/>
          <w:sz w:val="24"/>
          <w:szCs w:val="24"/>
        </w:rPr>
        <w:t xml:space="preserve"> </w:t>
      </w:r>
    </w:p>
    <w:p w14:paraId="58673344"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Risk Quantification:</w:t>
      </w:r>
      <w:r w:rsidRPr="0009687E">
        <w:rPr>
          <w:rFonts w:asciiTheme="majorHAnsi" w:eastAsia="Times New Roman" w:hAnsiTheme="majorHAnsi" w:cs="Times New Roman"/>
          <w:bCs/>
          <w:sz w:val="24"/>
          <w:szCs w:val="24"/>
        </w:rPr>
        <w:t xml:space="preserve"> </w:t>
      </w:r>
    </w:p>
    <w:p w14:paraId="0A26A268"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Once risks are identified, organizations quantify them using qualitative and quantitative methods to assess their likelihood and impact. Qualitative methods may involve risk mapping exercises, where risks are categorized based on their severity and probability of occurrence. Quantitative methods, on the other hand, utilize scenario analysis, probabilistic modeling, and statistical techniques to estimate the potential financial and operational impact of identified risks. By quantifying risks, organizations can prioritize them based on their significance and allocate resources effectively to mitigate potential adverse effects.</w:t>
      </w:r>
      <w:r w:rsidRPr="0009687E">
        <w:rPr>
          <w:rFonts w:asciiTheme="majorHAnsi" w:eastAsia="Times New Roman" w:hAnsiTheme="majorHAnsi" w:cs="Times New Roman"/>
          <w:bCs/>
          <w:sz w:val="24"/>
          <w:szCs w:val="24"/>
        </w:rPr>
        <w:t xml:space="preserve"> </w:t>
      </w:r>
    </w:p>
    <w:p w14:paraId="0731161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Risk Mitigation Strategies:</w:t>
      </w:r>
      <w:r w:rsidRPr="0009687E">
        <w:rPr>
          <w:rFonts w:asciiTheme="majorHAnsi" w:eastAsia="Times New Roman" w:hAnsiTheme="majorHAnsi" w:cs="Times New Roman"/>
          <w:bCs/>
          <w:sz w:val="24"/>
          <w:szCs w:val="24"/>
        </w:rPr>
        <w:t xml:space="preserve"> </w:t>
      </w:r>
    </w:p>
    <w:p w14:paraId="0128836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Armed with a clear understanding of identified risks, organizations develop risk mitigation strategies to proactively manage and mitigate potential challenges within DVNs. This may involve implementing controls, redundancies, and contingency plans to minimize the likelihood and impact of adverse events. For example, organizations may enhance cybersecurity measures to protect against data breaches or establish alternative supply chain routes to mitigate the risk of disruptions. Additionally, organizations may enter into risk-sharing agreements or purchase insurance to transfer risk where appropriate. By implementing robust risk mitigation strategies, organizations can enhance the resilience of DVNs and ensure continuity of operations in the face of uncertainty.</w:t>
      </w:r>
      <w:r w:rsidRPr="0009687E">
        <w:rPr>
          <w:rFonts w:asciiTheme="majorHAnsi" w:eastAsia="Times New Roman" w:hAnsiTheme="majorHAnsi" w:cs="Times New Roman"/>
          <w:bCs/>
          <w:sz w:val="24"/>
          <w:szCs w:val="24"/>
        </w:rPr>
        <w:t xml:space="preserve"> </w:t>
      </w:r>
    </w:p>
    <w:p w14:paraId="0A4628F1" w14:textId="77777777" w:rsidR="000D4A65" w:rsidRPr="0009687E" w:rsidRDefault="000D4A65" w:rsidP="000D4A65">
      <w:pPr>
        <w:pStyle w:val="Heading2"/>
        <w:ind w:left="-5"/>
        <w:rPr>
          <w:bCs/>
          <w:sz w:val="24"/>
          <w:szCs w:val="24"/>
        </w:rPr>
      </w:pPr>
      <w:bookmarkStart w:id="107" w:name="_Toc168210222"/>
      <w:bookmarkStart w:id="108" w:name="_Toc168210378"/>
      <w:bookmarkStart w:id="109" w:name="_Toc44631"/>
      <w:r w:rsidRPr="0009687E">
        <w:rPr>
          <w:bCs/>
          <w:sz w:val="24"/>
          <w:szCs w:val="24"/>
        </w:rPr>
        <w:t>5.1 Resilience Building and Adaptive Capacity</w:t>
      </w:r>
      <w:bookmarkEnd w:id="107"/>
      <w:bookmarkEnd w:id="108"/>
      <w:r w:rsidRPr="0009687E">
        <w:rPr>
          <w:rFonts w:eastAsia="Times New Roman" w:cs="Times New Roman"/>
          <w:bCs/>
          <w:sz w:val="24"/>
          <w:szCs w:val="24"/>
        </w:rPr>
        <w:t xml:space="preserve"> </w:t>
      </w:r>
      <w:bookmarkEnd w:id="109"/>
    </w:p>
    <w:p w14:paraId="409D5834"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Building resilience and adaptive capacity is essential for DVNs to withstand disruptions and thrive in dynamic environments. This involves adopting strategies that enhance flexibility, responsiveness, and agility within the network:</w:t>
      </w:r>
      <w:r w:rsidRPr="0009687E">
        <w:rPr>
          <w:rFonts w:asciiTheme="majorHAnsi" w:eastAsia="Times New Roman" w:hAnsiTheme="majorHAnsi" w:cs="Times New Roman"/>
          <w:bCs/>
          <w:sz w:val="24"/>
          <w:szCs w:val="24"/>
        </w:rPr>
        <w:t xml:space="preserve"> </w:t>
      </w:r>
    </w:p>
    <w:p w14:paraId="6F4DA02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Adaptive Governance Structures:</w:t>
      </w:r>
      <w:r w:rsidRPr="0009687E">
        <w:rPr>
          <w:rFonts w:asciiTheme="majorHAnsi" w:eastAsia="Times New Roman" w:hAnsiTheme="majorHAnsi" w:cs="Times New Roman"/>
          <w:bCs/>
          <w:sz w:val="24"/>
          <w:szCs w:val="24"/>
        </w:rPr>
        <w:t xml:space="preserve"> </w:t>
      </w:r>
    </w:p>
    <w:p w14:paraId="10054DC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Organizations establish adaptive governance structures that enable flexibility, responsiveness, and agility within DVNs. Traditional hierarchical decision-making processes are often inadequate in rapidly changing environments, where decisions must be made quickly and collaboratively. Adaptive governance structures, such as decentralized decision-making, dynamic governance frameworks, and crisis management protocols, empower network participants to adapt and respond to changing conditions in real-time. By decentralizing decision-making authority and empowering stakeholders to take ownership of their actions, organizations can enhance agility and resilience within DVNs.</w:t>
      </w:r>
      <w:r w:rsidRPr="0009687E">
        <w:rPr>
          <w:rFonts w:asciiTheme="majorHAnsi" w:eastAsia="Times New Roman" w:hAnsiTheme="majorHAnsi" w:cs="Times New Roman"/>
          <w:bCs/>
          <w:sz w:val="24"/>
          <w:szCs w:val="24"/>
        </w:rPr>
        <w:t xml:space="preserve"> </w:t>
      </w:r>
    </w:p>
    <w:p w14:paraId="3684ECCF"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Diversification and Redundancy:</w:t>
      </w:r>
      <w:r w:rsidRPr="0009687E">
        <w:rPr>
          <w:rFonts w:asciiTheme="majorHAnsi" w:eastAsia="Times New Roman" w:hAnsiTheme="majorHAnsi" w:cs="Times New Roman"/>
          <w:bCs/>
          <w:sz w:val="24"/>
          <w:szCs w:val="24"/>
        </w:rPr>
        <w:t xml:space="preserve"> </w:t>
      </w:r>
    </w:p>
    <w:p w14:paraId="247D992B"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Organizations diversify their network relationships, resources, and operations to reduce dependency on single sources of value and enhance redundancy within DVNs. This involves cultivating diverse partnerships, geographic dispersion, and redundant infrastructure to mitigate the impact of disruptions and enhance resilience. For example, organizations may establish alternative supply chain routes or develop multiple revenue streams to reduce reliance on a single market or customer segment. By diversifying their network relationships and resources, organizations can distribute risk more effectively and increase their ability to adapt to changing conditions within DVNs.</w:t>
      </w:r>
      <w:r w:rsidRPr="0009687E">
        <w:rPr>
          <w:rFonts w:asciiTheme="majorHAnsi" w:eastAsia="Times New Roman" w:hAnsiTheme="majorHAnsi" w:cs="Times New Roman"/>
          <w:bCs/>
          <w:sz w:val="24"/>
          <w:szCs w:val="24"/>
        </w:rPr>
        <w:t xml:space="preserve"> </w:t>
      </w:r>
    </w:p>
    <w:p w14:paraId="0169C38B"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Continuous Learning and Improvement:</w:t>
      </w:r>
      <w:r w:rsidRPr="0009687E">
        <w:rPr>
          <w:rFonts w:asciiTheme="majorHAnsi" w:eastAsia="Times New Roman" w:hAnsiTheme="majorHAnsi" w:cs="Times New Roman"/>
          <w:bCs/>
          <w:sz w:val="24"/>
          <w:szCs w:val="24"/>
        </w:rPr>
        <w:t xml:space="preserve"> </w:t>
      </w:r>
    </w:p>
    <w:p w14:paraId="517F527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Organizations foster a culture of continuous learning and improvement within DVNs, leveraging insights from past experiences and failures to inform future strategies and decisions. This involves conducting post-mortem analyses, sharing lessons learned, and investing in </w:t>
      </w:r>
      <w:proofErr w:type="spellStart"/>
      <w:proofErr w:type="gramStart"/>
      <w:r w:rsidRPr="0009687E">
        <w:rPr>
          <w:rFonts w:asciiTheme="majorHAnsi" w:hAnsiTheme="majorHAnsi"/>
          <w:bCs/>
          <w:sz w:val="24"/>
          <w:szCs w:val="24"/>
        </w:rPr>
        <w:t>capacitybuilding</w:t>
      </w:r>
      <w:proofErr w:type="spellEnd"/>
      <w:proofErr w:type="gramEnd"/>
      <w:r w:rsidRPr="0009687E">
        <w:rPr>
          <w:rFonts w:asciiTheme="majorHAnsi" w:hAnsiTheme="majorHAnsi"/>
          <w:bCs/>
          <w:sz w:val="24"/>
          <w:szCs w:val="24"/>
        </w:rPr>
        <w:t xml:space="preserve"> initiatives that strengthen the resilience and adaptive capacity of network participants. By encouraging a mindset of curiosity, experimentation, and reflection, organizations can promote innovation and adaptability within DVNs. Additionally, organizations may invest in training and development programs that enhance the skills and capabilities of network participants, enabling them to respond effectively to emerging challenges and opportunities.</w:t>
      </w:r>
      <w:r w:rsidRPr="0009687E">
        <w:rPr>
          <w:rFonts w:asciiTheme="majorHAnsi" w:eastAsia="Times New Roman" w:hAnsiTheme="majorHAnsi" w:cs="Times New Roman"/>
          <w:bCs/>
          <w:sz w:val="24"/>
          <w:szCs w:val="24"/>
        </w:rPr>
        <w:t xml:space="preserve"> </w:t>
      </w:r>
    </w:p>
    <w:p w14:paraId="1C8B3DBB" w14:textId="77777777" w:rsidR="000D4A65" w:rsidRPr="0009687E" w:rsidRDefault="000D4A65" w:rsidP="000D4A65">
      <w:pPr>
        <w:spacing w:after="354"/>
        <w:ind w:left="-5" w:right="3"/>
        <w:rPr>
          <w:rFonts w:asciiTheme="majorHAnsi" w:hAnsiTheme="majorHAnsi"/>
          <w:bCs/>
          <w:sz w:val="24"/>
          <w:szCs w:val="24"/>
        </w:rPr>
      </w:pPr>
      <w:r w:rsidRPr="0009687E">
        <w:rPr>
          <w:rFonts w:asciiTheme="majorHAnsi" w:hAnsiTheme="majorHAnsi"/>
          <w:bCs/>
          <w:sz w:val="24"/>
          <w:szCs w:val="24"/>
        </w:rPr>
        <w:t>In summary, effective risk management practices and resilience-building strategies are essential for ensuring the resilience and sustainability of Dynamic Value Networks (DVNs). By systematically identifying, assessing, and mitigating risks, organizations can enhance the resilience of DVNs and ensure continuity of operations in the face of uncertainty. Additionally, by building adaptive governance structures, diversifying network relationships and resources, and fostering a culture of continuous learning and improvement, organizations can enhance agility and responsiveness within DVNs, enabling them to thrive in dynamic environments.</w:t>
      </w:r>
      <w:r w:rsidRPr="0009687E">
        <w:rPr>
          <w:rFonts w:asciiTheme="majorHAnsi" w:eastAsia="Times New Roman" w:hAnsiTheme="majorHAnsi" w:cs="Times New Roman"/>
          <w:bCs/>
          <w:sz w:val="24"/>
          <w:szCs w:val="24"/>
        </w:rPr>
        <w:t xml:space="preserve"> </w:t>
      </w:r>
    </w:p>
    <w:p w14:paraId="24CBEB1A" w14:textId="77777777" w:rsidR="000D4A65" w:rsidRPr="0009687E" w:rsidRDefault="000D4A65" w:rsidP="000D4A65">
      <w:pPr>
        <w:pStyle w:val="Heading1"/>
        <w:ind w:left="-5"/>
        <w:rPr>
          <w:bCs/>
          <w:sz w:val="24"/>
          <w:szCs w:val="24"/>
        </w:rPr>
      </w:pPr>
      <w:bookmarkStart w:id="110" w:name="_Toc168210223"/>
      <w:bookmarkStart w:id="111" w:name="_Toc168210379"/>
      <w:bookmarkStart w:id="112" w:name="_Toc44632"/>
      <w:r w:rsidRPr="0009687E">
        <w:rPr>
          <w:bCs/>
          <w:sz w:val="24"/>
          <w:szCs w:val="24"/>
        </w:rPr>
        <w:t>Section 6: Ethics and Social Responsibility</w:t>
      </w:r>
      <w:bookmarkEnd w:id="110"/>
      <w:bookmarkEnd w:id="111"/>
      <w:r w:rsidRPr="0009687E">
        <w:rPr>
          <w:rFonts w:eastAsia="Times New Roman" w:cs="Times New Roman"/>
          <w:bCs/>
          <w:sz w:val="24"/>
          <w:szCs w:val="24"/>
        </w:rPr>
        <w:t xml:space="preserve"> </w:t>
      </w:r>
      <w:bookmarkEnd w:id="112"/>
    </w:p>
    <w:p w14:paraId="3E0718D1"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Ethical Considerations and Values Alignment</w:t>
      </w:r>
      <w:r w:rsidRPr="0009687E">
        <w:rPr>
          <w:rFonts w:asciiTheme="majorHAnsi" w:eastAsia="Times New Roman" w:hAnsiTheme="majorHAnsi" w:cs="Times New Roman"/>
          <w:bCs/>
          <w:sz w:val="24"/>
          <w:szCs w:val="24"/>
        </w:rPr>
        <w:t xml:space="preserve"> </w:t>
      </w:r>
    </w:p>
    <w:p w14:paraId="314FD1A2"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Ethical considerations and values alignment are critical for the effective functioning and sustainability of Dynamic Value Networks (DVNs). This involves establishing ethical frameworks and guidelines, promoting transparency and accountability, and engaging stakeholders to ensure alignment with shared ethical norms and standards:</w:t>
      </w:r>
      <w:r w:rsidRPr="0009687E">
        <w:rPr>
          <w:rFonts w:asciiTheme="majorHAnsi" w:eastAsia="Times New Roman" w:hAnsiTheme="majorHAnsi" w:cs="Times New Roman"/>
          <w:bCs/>
          <w:sz w:val="24"/>
          <w:szCs w:val="24"/>
        </w:rPr>
        <w:t xml:space="preserve"> </w:t>
      </w:r>
    </w:p>
    <w:p w14:paraId="5E2A072C"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Ethical Frameworks:</w:t>
      </w:r>
      <w:r w:rsidRPr="0009687E">
        <w:rPr>
          <w:rFonts w:asciiTheme="majorHAnsi" w:eastAsia="Times New Roman" w:hAnsiTheme="majorHAnsi" w:cs="Times New Roman"/>
          <w:bCs/>
          <w:sz w:val="24"/>
          <w:szCs w:val="24"/>
        </w:rPr>
        <w:t xml:space="preserve"> </w:t>
      </w:r>
    </w:p>
    <w:p w14:paraId="0D61FC3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Organizations establish ethical frameworks and guidelines that govern behavior and </w:t>
      </w:r>
      <w:proofErr w:type="spellStart"/>
      <w:r w:rsidRPr="0009687E">
        <w:rPr>
          <w:rFonts w:asciiTheme="majorHAnsi" w:hAnsiTheme="majorHAnsi"/>
          <w:bCs/>
          <w:sz w:val="24"/>
          <w:szCs w:val="24"/>
        </w:rPr>
        <w:t>decisionmaking</w:t>
      </w:r>
      <w:proofErr w:type="spellEnd"/>
      <w:r w:rsidRPr="0009687E">
        <w:rPr>
          <w:rFonts w:asciiTheme="majorHAnsi" w:hAnsiTheme="majorHAnsi"/>
          <w:bCs/>
          <w:sz w:val="24"/>
          <w:szCs w:val="24"/>
        </w:rPr>
        <w:t xml:space="preserve"> within DVNs. This includes articulating core values, ethical principles, and codes of conduct that guide the actions of network participants and ensure alignment with shared ethical norms and standards. Ethical frameworks provide a foundation for ethical decision-making, enabling organizations to navigate complex ethical dilemmas and uphold integrity and trust within DVNs. By promoting ethical behavior and values alignment, organizations can foster a culture of trust, respect, and integrity within the network.</w:t>
      </w:r>
      <w:r w:rsidRPr="0009687E">
        <w:rPr>
          <w:rFonts w:asciiTheme="majorHAnsi" w:eastAsia="Times New Roman" w:hAnsiTheme="majorHAnsi" w:cs="Times New Roman"/>
          <w:bCs/>
          <w:sz w:val="24"/>
          <w:szCs w:val="24"/>
        </w:rPr>
        <w:t xml:space="preserve"> </w:t>
      </w:r>
    </w:p>
    <w:p w14:paraId="0315FD5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Transparency and Accountability:</w:t>
      </w:r>
      <w:r w:rsidRPr="0009687E">
        <w:rPr>
          <w:rFonts w:asciiTheme="majorHAnsi" w:eastAsia="Times New Roman" w:hAnsiTheme="majorHAnsi" w:cs="Times New Roman"/>
          <w:bCs/>
          <w:sz w:val="24"/>
          <w:szCs w:val="24"/>
        </w:rPr>
        <w:t xml:space="preserve"> </w:t>
      </w:r>
    </w:p>
    <w:p w14:paraId="7DA5866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Organizations prioritize transparency and accountability within DVNs, fostering open communication, disclosure, and accountability mechanisms that promote trust and integrity among network participants. This includes transparent reporting, ethical audits, and mechanisms for addressing unethical behavior or violations of ethical standards within the network. By promoting transparency and accountability, organizations can build trust and confidence among stakeholders, enhancing collaboration and value creation within DVNs.</w:t>
      </w:r>
      <w:r w:rsidRPr="0009687E">
        <w:rPr>
          <w:rFonts w:asciiTheme="majorHAnsi" w:eastAsia="Times New Roman" w:hAnsiTheme="majorHAnsi" w:cs="Times New Roman"/>
          <w:bCs/>
          <w:sz w:val="24"/>
          <w:szCs w:val="24"/>
        </w:rPr>
        <w:t xml:space="preserve"> </w:t>
      </w:r>
    </w:p>
    <w:p w14:paraId="5222821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Stakeholder Engagement and Inclusivity:</w:t>
      </w:r>
      <w:r w:rsidRPr="0009687E">
        <w:rPr>
          <w:rFonts w:asciiTheme="majorHAnsi" w:eastAsia="Times New Roman" w:hAnsiTheme="majorHAnsi" w:cs="Times New Roman"/>
          <w:bCs/>
          <w:sz w:val="24"/>
          <w:szCs w:val="24"/>
        </w:rPr>
        <w:t xml:space="preserve"> </w:t>
      </w:r>
    </w:p>
    <w:p w14:paraId="10E5F81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Organizations engage with stakeholders to understand their diverse perspectives, interests, and concerns, and incorporate them into decision-making processes within DVNs. This includes stakeholder consultations, community engagement initiatives, and mechanisms for incorporating stakeholder feedback into decision-making and governance processes. By engaging with stakeholders in a meaningful and inclusive manner, organizations can build trust, foster collaboration, and ensure that the interests of all stakeholders are considered and respected within DVNs.</w:t>
      </w:r>
      <w:r w:rsidRPr="0009687E">
        <w:rPr>
          <w:rFonts w:asciiTheme="majorHAnsi" w:eastAsia="Times New Roman" w:hAnsiTheme="majorHAnsi" w:cs="Times New Roman"/>
          <w:bCs/>
          <w:sz w:val="24"/>
          <w:szCs w:val="24"/>
        </w:rPr>
        <w:t xml:space="preserve"> </w:t>
      </w:r>
    </w:p>
    <w:p w14:paraId="616B3942"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In summary, ethical considerations and values alignment are integral to the effective functioning and sustainability of Dynamic Value Networks (DVNs). By establishing ethical frameworks and guidelines, promoting transparency and accountability, and engaging stakeholders in </w:t>
      </w:r>
      <w:proofErr w:type="spellStart"/>
      <w:r w:rsidRPr="0009687E">
        <w:rPr>
          <w:rFonts w:asciiTheme="majorHAnsi" w:hAnsiTheme="majorHAnsi"/>
          <w:bCs/>
          <w:sz w:val="24"/>
          <w:szCs w:val="24"/>
        </w:rPr>
        <w:t>decisionmaking</w:t>
      </w:r>
      <w:proofErr w:type="spellEnd"/>
      <w:r w:rsidRPr="0009687E">
        <w:rPr>
          <w:rFonts w:asciiTheme="majorHAnsi" w:hAnsiTheme="majorHAnsi"/>
          <w:bCs/>
          <w:sz w:val="24"/>
          <w:szCs w:val="24"/>
        </w:rPr>
        <w:t xml:space="preserve"> processes, organizations can ensure that DVNs operate in accordance with shared ethical norms and standards, fostering trust, integrity, and sustainability within the network.</w:t>
      </w:r>
      <w:r w:rsidRPr="0009687E">
        <w:rPr>
          <w:rFonts w:asciiTheme="majorHAnsi" w:eastAsia="Times New Roman" w:hAnsiTheme="majorHAnsi" w:cs="Times New Roman"/>
          <w:bCs/>
          <w:sz w:val="24"/>
          <w:szCs w:val="24"/>
        </w:rPr>
        <w:t xml:space="preserve"> </w:t>
      </w:r>
    </w:p>
    <w:p w14:paraId="69808DF0" w14:textId="77777777" w:rsidR="000D4A65" w:rsidRPr="0009687E" w:rsidRDefault="000D4A65" w:rsidP="000D4A65">
      <w:pPr>
        <w:pStyle w:val="Heading1"/>
        <w:ind w:left="-5"/>
        <w:rPr>
          <w:bCs/>
          <w:sz w:val="24"/>
          <w:szCs w:val="24"/>
        </w:rPr>
      </w:pPr>
      <w:bookmarkStart w:id="113" w:name="_Toc168210224"/>
      <w:bookmarkStart w:id="114" w:name="_Toc168210380"/>
      <w:bookmarkStart w:id="115" w:name="_Toc44633"/>
      <w:r w:rsidRPr="0009687E">
        <w:rPr>
          <w:bCs/>
          <w:sz w:val="24"/>
          <w:szCs w:val="24"/>
        </w:rPr>
        <w:t>Section 7: Performance Measurement and Metrics</w:t>
      </w:r>
      <w:bookmarkEnd w:id="113"/>
      <w:bookmarkEnd w:id="114"/>
      <w:r w:rsidRPr="0009687E">
        <w:rPr>
          <w:rFonts w:eastAsia="Times New Roman" w:cs="Times New Roman"/>
          <w:bCs/>
          <w:sz w:val="24"/>
          <w:szCs w:val="24"/>
        </w:rPr>
        <w:t xml:space="preserve"> </w:t>
      </w:r>
      <w:bookmarkEnd w:id="115"/>
    </w:p>
    <w:p w14:paraId="03D21EC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Measuring and evaluating the performance of Dynamic Value Networks (DVNs) is essential for assessing effectiveness, identifying opportunities for improvement, and driving value creation. This involves defining and tracking key performance indicators (KPIs), benchmarking performance against industry standards, and conducting continuous evaluation and improvement activities:</w:t>
      </w:r>
      <w:r w:rsidRPr="0009687E">
        <w:rPr>
          <w:rFonts w:asciiTheme="majorHAnsi" w:eastAsia="Times New Roman" w:hAnsiTheme="majorHAnsi" w:cs="Times New Roman"/>
          <w:bCs/>
          <w:sz w:val="24"/>
          <w:szCs w:val="24"/>
        </w:rPr>
        <w:t xml:space="preserve"> </w:t>
      </w:r>
    </w:p>
    <w:p w14:paraId="2EF3BC6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Key Performance Indicators (KPIs):</w:t>
      </w:r>
      <w:r w:rsidRPr="0009687E">
        <w:rPr>
          <w:rFonts w:asciiTheme="majorHAnsi" w:eastAsia="Times New Roman" w:hAnsiTheme="majorHAnsi" w:cs="Times New Roman"/>
          <w:bCs/>
          <w:sz w:val="24"/>
          <w:szCs w:val="24"/>
        </w:rPr>
        <w:t xml:space="preserve"> </w:t>
      </w:r>
    </w:p>
    <w:p w14:paraId="578F2B1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Organizations define and track KPIs that reflect the objectives and priorities of DVNs. These KPIs may encompass various dimensions of network performance, including efficiency, effectiveness, value creation, and stakeholder satisfaction. For example, organizations may track metrics such as network uptime, response time, customer retention rates, and revenue growth to assess the overall health and performance of DVNs. By establishing clear KPIs, organizations can monitor performance, identify trends, and make data-driven decisions to drive value creation and continuous improvement within DVNs.</w:t>
      </w:r>
      <w:r w:rsidRPr="0009687E">
        <w:rPr>
          <w:rFonts w:asciiTheme="majorHAnsi" w:eastAsia="Times New Roman" w:hAnsiTheme="majorHAnsi" w:cs="Times New Roman"/>
          <w:bCs/>
          <w:sz w:val="24"/>
          <w:szCs w:val="24"/>
        </w:rPr>
        <w:t xml:space="preserve"> </w:t>
      </w:r>
    </w:p>
    <w:p w14:paraId="2A74ADE8"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Benchmarking and Comparative Analysis:</w:t>
      </w:r>
      <w:r w:rsidRPr="0009687E">
        <w:rPr>
          <w:rFonts w:asciiTheme="majorHAnsi" w:eastAsia="Times New Roman" w:hAnsiTheme="majorHAnsi" w:cs="Times New Roman"/>
          <w:bCs/>
          <w:sz w:val="24"/>
          <w:szCs w:val="24"/>
        </w:rPr>
        <w:t xml:space="preserve"> </w:t>
      </w:r>
    </w:p>
    <w:p w14:paraId="594058A0"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Organizations benchmark DVN performance against industry standards, best practices, and competitor benchmarks to identify areas of strength and opportunity. This involves conducting comparative analysis, performance benchmarking, and peer reviews that provide insights into relative performance and opportunities for improvement within DVNs. For example, organizations may compare their performance metrics to industry benchmarks or conduct peer reviews to identify leading practices and performance gaps. By benchmarking performance, organizations can identify areas for improvement, set realistic performance targets, and drive continuous improvement within DVNs.</w:t>
      </w:r>
      <w:r w:rsidRPr="0009687E">
        <w:rPr>
          <w:rFonts w:asciiTheme="majorHAnsi" w:eastAsia="Times New Roman" w:hAnsiTheme="majorHAnsi" w:cs="Times New Roman"/>
          <w:bCs/>
          <w:sz w:val="24"/>
          <w:szCs w:val="24"/>
        </w:rPr>
        <w:t xml:space="preserve"> </w:t>
      </w:r>
    </w:p>
    <w:p w14:paraId="1494C692"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Continuous Evaluation and Improvement:</w:t>
      </w:r>
      <w:r w:rsidRPr="0009687E">
        <w:rPr>
          <w:rFonts w:asciiTheme="majorHAnsi" w:eastAsia="Times New Roman" w:hAnsiTheme="majorHAnsi" w:cs="Times New Roman"/>
          <w:bCs/>
          <w:sz w:val="24"/>
          <w:szCs w:val="24"/>
        </w:rPr>
        <w:t xml:space="preserve"> </w:t>
      </w:r>
    </w:p>
    <w:p w14:paraId="2A929DB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Organizations conduct continuous evaluation and improvement of DVN performance, leveraging insights from performance metrics and feedback mechanisms to drive iterative experimentation, innovation, and learning. This includes regular performance reviews, retrospectives, and action planning that enable organizations to adapt and evolve in response to changing market dynamics and stakeholder needs. For example, organizations may conduct quarterly performance reviews to assess progress against KPIs, identify root causes of performance gaps, and develop action plans to address them. By fostering a culture of continuous improvement, organizations can drive innovation and agility within DVNs, enabling them to thrive in dynamic environments.</w:t>
      </w:r>
      <w:r w:rsidRPr="0009687E">
        <w:rPr>
          <w:rFonts w:asciiTheme="majorHAnsi" w:eastAsia="Times New Roman" w:hAnsiTheme="majorHAnsi" w:cs="Times New Roman"/>
          <w:bCs/>
          <w:sz w:val="24"/>
          <w:szCs w:val="24"/>
        </w:rPr>
        <w:t xml:space="preserve"> </w:t>
      </w:r>
    </w:p>
    <w:p w14:paraId="55B944A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Methodologies and Tools for Performance Measurement</w:t>
      </w:r>
      <w:r w:rsidRPr="0009687E">
        <w:rPr>
          <w:rFonts w:asciiTheme="majorHAnsi" w:eastAsia="Times New Roman" w:hAnsiTheme="majorHAnsi" w:cs="Times New Roman"/>
          <w:bCs/>
          <w:sz w:val="24"/>
          <w:szCs w:val="24"/>
        </w:rPr>
        <w:t xml:space="preserve"> </w:t>
      </w:r>
    </w:p>
    <w:p w14:paraId="3F8CA0D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Several methodologies and tools are available for measuring and evaluating the performance of DVNs, each offering unique benefits and capabilities:</w:t>
      </w:r>
      <w:r w:rsidRPr="0009687E">
        <w:rPr>
          <w:rFonts w:asciiTheme="majorHAnsi" w:eastAsia="Times New Roman" w:hAnsiTheme="majorHAnsi" w:cs="Times New Roman"/>
          <w:bCs/>
          <w:sz w:val="24"/>
          <w:szCs w:val="24"/>
        </w:rPr>
        <w:t xml:space="preserve"> </w:t>
      </w:r>
    </w:p>
    <w:p w14:paraId="1102A1C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Balanced Scorecard:</w:t>
      </w:r>
      <w:r w:rsidRPr="0009687E">
        <w:rPr>
          <w:rFonts w:asciiTheme="majorHAnsi" w:eastAsia="Times New Roman" w:hAnsiTheme="majorHAnsi" w:cs="Times New Roman"/>
          <w:bCs/>
          <w:sz w:val="24"/>
          <w:szCs w:val="24"/>
        </w:rPr>
        <w:t xml:space="preserve"> </w:t>
      </w:r>
    </w:p>
    <w:p w14:paraId="2D055B6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The Balanced Scorecard is a strategic management framework that translates an organization's strategic objectives into a set of performance measures across four perspectives: financial, customer, internal processes, and learning and growth. Organizations use the Balanced Scorecard to align performance metrics with strategic goals, monitor progress, and drive performance improvement within DVNs.</w:t>
      </w:r>
      <w:r w:rsidRPr="0009687E">
        <w:rPr>
          <w:rFonts w:asciiTheme="majorHAnsi" w:eastAsia="Times New Roman" w:hAnsiTheme="majorHAnsi" w:cs="Times New Roman"/>
          <w:bCs/>
          <w:sz w:val="24"/>
          <w:szCs w:val="24"/>
        </w:rPr>
        <w:t xml:space="preserve"> </w:t>
      </w:r>
    </w:p>
    <w:p w14:paraId="4190983F"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Network Analysis:</w:t>
      </w:r>
      <w:r w:rsidRPr="0009687E">
        <w:rPr>
          <w:rFonts w:asciiTheme="majorHAnsi" w:eastAsia="Times New Roman" w:hAnsiTheme="majorHAnsi" w:cs="Times New Roman"/>
          <w:bCs/>
          <w:sz w:val="24"/>
          <w:szCs w:val="24"/>
        </w:rPr>
        <w:t xml:space="preserve"> </w:t>
      </w:r>
    </w:p>
    <w:p w14:paraId="632D7F34"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Network analysis techniques, such as social network analysis (SNA) and network centrality measures, enable organizations to assess the structure and dynamics of DVNs. By analyzing network relationships, interactions, and patterns of communication, organizations can identify key influencers, communication bottlenecks, and opportunities for collaboration within DVNs.</w:t>
      </w:r>
      <w:r w:rsidRPr="0009687E">
        <w:rPr>
          <w:rFonts w:asciiTheme="majorHAnsi" w:eastAsia="Times New Roman" w:hAnsiTheme="majorHAnsi" w:cs="Times New Roman"/>
          <w:bCs/>
          <w:sz w:val="24"/>
          <w:szCs w:val="24"/>
        </w:rPr>
        <w:t xml:space="preserve"> </w:t>
      </w:r>
      <w:r w:rsidRPr="0009687E">
        <w:rPr>
          <w:rFonts w:asciiTheme="majorHAnsi" w:hAnsiTheme="majorHAnsi"/>
          <w:bCs/>
          <w:sz w:val="24"/>
          <w:szCs w:val="24"/>
        </w:rPr>
        <w:t>Data Analytics and Business Intelligence:</w:t>
      </w:r>
      <w:r w:rsidRPr="0009687E">
        <w:rPr>
          <w:rFonts w:asciiTheme="majorHAnsi" w:eastAsia="Times New Roman" w:hAnsiTheme="majorHAnsi" w:cs="Times New Roman"/>
          <w:bCs/>
          <w:sz w:val="24"/>
          <w:szCs w:val="24"/>
        </w:rPr>
        <w:t xml:space="preserve"> </w:t>
      </w:r>
    </w:p>
    <w:p w14:paraId="6375D152"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Data analytics and business intelligence tools enable organizations to analyze large volumes of data, extract actionable insights, and visualize performance metrics within DVNs. These tools leverage advanced analytics techniques, such as machine learning, predictive modeling, and data visualization, to identify trends, patterns, and correlations that inform decision-making and drive value creation within DVNs.</w:t>
      </w:r>
      <w:r w:rsidRPr="0009687E">
        <w:rPr>
          <w:rFonts w:asciiTheme="majorHAnsi" w:eastAsia="Times New Roman" w:hAnsiTheme="majorHAnsi" w:cs="Times New Roman"/>
          <w:bCs/>
          <w:sz w:val="24"/>
          <w:szCs w:val="24"/>
        </w:rPr>
        <w:t xml:space="preserve"> </w:t>
      </w:r>
    </w:p>
    <w:p w14:paraId="39EC120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Surveys and Feedback Mechanisms:</w:t>
      </w:r>
      <w:r w:rsidRPr="0009687E">
        <w:rPr>
          <w:rFonts w:asciiTheme="majorHAnsi" w:eastAsia="Times New Roman" w:hAnsiTheme="majorHAnsi" w:cs="Times New Roman"/>
          <w:bCs/>
          <w:sz w:val="24"/>
          <w:szCs w:val="24"/>
        </w:rPr>
        <w:t xml:space="preserve"> </w:t>
      </w:r>
    </w:p>
    <w:p w14:paraId="307D5FB4"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Surveys and feedback mechanisms, such as customer satisfaction surveys, employee engagement surveys, and stakeholder feedback platforms, enable organizations to collect qualitative and quantitative feedback from network participants. By soliciting feedback on various aspects of DVN performance, organizations can gain insights into stakeholder perceptions, preferences, and areas for improvement, enabling them to make data-driven decisions and drive continuous improvement within DVNs.</w:t>
      </w:r>
      <w:r w:rsidRPr="0009687E">
        <w:rPr>
          <w:rFonts w:asciiTheme="majorHAnsi" w:eastAsia="Times New Roman" w:hAnsiTheme="majorHAnsi" w:cs="Times New Roman"/>
          <w:bCs/>
          <w:sz w:val="24"/>
          <w:szCs w:val="24"/>
        </w:rPr>
        <w:t xml:space="preserve"> </w:t>
      </w:r>
    </w:p>
    <w:p w14:paraId="54CD543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Challenges and Considerations</w:t>
      </w:r>
      <w:r w:rsidRPr="0009687E">
        <w:rPr>
          <w:rFonts w:asciiTheme="majorHAnsi" w:eastAsia="Times New Roman" w:hAnsiTheme="majorHAnsi" w:cs="Times New Roman"/>
          <w:bCs/>
          <w:sz w:val="24"/>
          <w:szCs w:val="24"/>
        </w:rPr>
        <w:t xml:space="preserve"> </w:t>
      </w:r>
    </w:p>
    <w:p w14:paraId="64244A98"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While performance measurement and evaluation are critical for driving value creation within DVNs, organizations may face several challenges and considerations:</w:t>
      </w:r>
      <w:r w:rsidRPr="0009687E">
        <w:rPr>
          <w:rFonts w:asciiTheme="majorHAnsi" w:eastAsia="Times New Roman" w:hAnsiTheme="majorHAnsi" w:cs="Times New Roman"/>
          <w:bCs/>
          <w:sz w:val="24"/>
          <w:szCs w:val="24"/>
        </w:rPr>
        <w:t xml:space="preserve"> </w:t>
      </w:r>
    </w:p>
    <w:p w14:paraId="5F4EA526"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Data Quality and Availability:</w:t>
      </w:r>
      <w:r w:rsidRPr="0009687E">
        <w:rPr>
          <w:rFonts w:asciiTheme="majorHAnsi" w:eastAsia="Times New Roman" w:hAnsiTheme="majorHAnsi" w:cs="Times New Roman"/>
          <w:bCs/>
          <w:sz w:val="24"/>
          <w:szCs w:val="24"/>
        </w:rPr>
        <w:t xml:space="preserve"> </w:t>
      </w:r>
    </w:p>
    <w:p w14:paraId="67228D4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Ensuring the quality and availability of data is essential for accurate performance measurement within DVNs. Organizations may encounter challenges related to data consistency, completeness, and accuracy, particularly when data is collected from disparate sources and systems. By investing in data governance, data management, and data integration capabilities, organizations can address data quality issues and ensure that performance metrics are reliable and actionable.</w:t>
      </w:r>
      <w:r w:rsidRPr="0009687E">
        <w:rPr>
          <w:rFonts w:asciiTheme="majorHAnsi" w:eastAsia="Times New Roman" w:hAnsiTheme="majorHAnsi" w:cs="Times New Roman"/>
          <w:bCs/>
          <w:sz w:val="24"/>
          <w:szCs w:val="24"/>
        </w:rPr>
        <w:t xml:space="preserve"> </w:t>
      </w:r>
    </w:p>
    <w:p w14:paraId="3392BAE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Complexity and Interdependence:</w:t>
      </w:r>
      <w:r w:rsidRPr="0009687E">
        <w:rPr>
          <w:rFonts w:asciiTheme="majorHAnsi" w:eastAsia="Times New Roman" w:hAnsiTheme="majorHAnsi" w:cs="Times New Roman"/>
          <w:bCs/>
          <w:sz w:val="24"/>
          <w:szCs w:val="24"/>
        </w:rPr>
        <w:t xml:space="preserve"> </w:t>
      </w:r>
    </w:p>
    <w:p w14:paraId="1F190F2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DVNs are complex and interconnected ecosystems, characterized by multiple stakeholders, relationships, and dependencies. Measuring and evaluating performance within DVNs requires a holistic understanding of network dynamics and interactions, as well as the ability to capture and analyze data from diverse sources. Organizations may need to develop customized performance measurement frameworks and methodologies that account for the unique characteristics and complexities of DVNs.</w:t>
      </w:r>
      <w:r w:rsidRPr="0009687E">
        <w:rPr>
          <w:rFonts w:asciiTheme="majorHAnsi" w:eastAsia="Times New Roman" w:hAnsiTheme="majorHAnsi" w:cs="Times New Roman"/>
          <w:bCs/>
          <w:sz w:val="24"/>
          <w:szCs w:val="24"/>
        </w:rPr>
        <w:t xml:space="preserve"> </w:t>
      </w:r>
    </w:p>
    <w:p w14:paraId="1F671FD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Privacy and Security:</w:t>
      </w:r>
      <w:r w:rsidRPr="0009687E">
        <w:rPr>
          <w:rFonts w:asciiTheme="majorHAnsi" w:eastAsia="Times New Roman" w:hAnsiTheme="majorHAnsi" w:cs="Times New Roman"/>
          <w:bCs/>
          <w:sz w:val="24"/>
          <w:szCs w:val="24"/>
        </w:rPr>
        <w:t xml:space="preserve"> </w:t>
      </w:r>
    </w:p>
    <w:p w14:paraId="523D3852"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Privacy and security considerations are paramount when collecting and analyzing data within DVNs. Organizations must ensure compliance with relevant data protection regulations and industry standards, as well as safeguarding sensitive information from unauthorized access or misuse. By implementing robust data privacy and security measures, organizations can protect the confidentiality, integrity, and availability of data within DVNs, while also maintaining trust and confidence among network participants.</w:t>
      </w:r>
      <w:r w:rsidRPr="0009687E">
        <w:rPr>
          <w:rFonts w:asciiTheme="majorHAnsi" w:eastAsia="Times New Roman" w:hAnsiTheme="majorHAnsi" w:cs="Times New Roman"/>
          <w:bCs/>
          <w:sz w:val="24"/>
          <w:szCs w:val="24"/>
        </w:rPr>
        <w:t xml:space="preserve"> </w:t>
      </w:r>
    </w:p>
    <w:p w14:paraId="11A68AF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Alignment with Strategic Objectives:</w:t>
      </w:r>
      <w:r w:rsidRPr="0009687E">
        <w:rPr>
          <w:rFonts w:asciiTheme="majorHAnsi" w:eastAsia="Times New Roman" w:hAnsiTheme="majorHAnsi" w:cs="Times New Roman"/>
          <w:bCs/>
          <w:sz w:val="24"/>
          <w:szCs w:val="24"/>
        </w:rPr>
        <w:t xml:space="preserve"> </w:t>
      </w:r>
    </w:p>
    <w:p w14:paraId="3D2EE6A6"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Performance measurement within DVNs should be closely aligned with strategic objectives and priorities. Organizations must define clear KPIs that reflect the desired outcomes and value drivers of DVNs, ensuring that performance metrics are relevant, meaningful, and actionable. By aligning performance measurement with strategic objectives, organizations can focus on driving value creation and achieving desired outcomes within DVNs.</w:t>
      </w:r>
      <w:r w:rsidRPr="0009687E">
        <w:rPr>
          <w:rFonts w:asciiTheme="majorHAnsi" w:eastAsia="Times New Roman" w:hAnsiTheme="majorHAnsi" w:cs="Times New Roman"/>
          <w:bCs/>
          <w:sz w:val="24"/>
          <w:szCs w:val="24"/>
        </w:rPr>
        <w:t xml:space="preserve"> </w:t>
      </w:r>
    </w:p>
    <w:p w14:paraId="4B5346DF"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Conclusion</w:t>
      </w:r>
      <w:r w:rsidRPr="0009687E">
        <w:rPr>
          <w:rFonts w:asciiTheme="majorHAnsi" w:eastAsia="Times New Roman" w:hAnsiTheme="majorHAnsi" w:cs="Times New Roman"/>
          <w:bCs/>
          <w:sz w:val="24"/>
          <w:szCs w:val="24"/>
        </w:rPr>
        <w:t xml:space="preserve"> </w:t>
      </w:r>
    </w:p>
    <w:p w14:paraId="54D2A750"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Effective performance measurement and evaluation are essential for assessing effectiveness, identifying opportunities for improvement, and driving value creation within Dynamic Value Networks (DVNs). By defining clear KPIs, benchmarking performance against industry standards, and conducting continuous evaluation and improvement activities, organizations can enhance the resilience and sustainability of DVNs, driving innovation, collaboration, and value creation in dynamic business environments.</w:t>
      </w:r>
      <w:r w:rsidRPr="0009687E">
        <w:rPr>
          <w:rFonts w:asciiTheme="majorHAnsi" w:eastAsia="Times New Roman" w:hAnsiTheme="majorHAnsi" w:cs="Times New Roman"/>
          <w:bCs/>
          <w:sz w:val="24"/>
          <w:szCs w:val="24"/>
        </w:rPr>
        <w:t xml:space="preserve"> </w:t>
      </w:r>
    </w:p>
    <w:p w14:paraId="30697AC9" w14:textId="77777777" w:rsidR="000D4A65" w:rsidRPr="0009687E" w:rsidRDefault="000D4A65" w:rsidP="000D4A65">
      <w:pPr>
        <w:spacing w:after="360"/>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599838E0" w14:textId="77777777" w:rsidR="000D4A65" w:rsidRPr="0009687E" w:rsidRDefault="000D4A65" w:rsidP="000D4A65">
      <w:pPr>
        <w:pStyle w:val="Heading1"/>
        <w:ind w:left="-5"/>
        <w:rPr>
          <w:bCs/>
          <w:sz w:val="24"/>
          <w:szCs w:val="24"/>
        </w:rPr>
      </w:pPr>
      <w:bookmarkStart w:id="116" w:name="_Toc168210225"/>
      <w:bookmarkStart w:id="117" w:name="_Toc168210381"/>
      <w:bookmarkStart w:id="118" w:name="_Toc44634"/>
      <w:r w:rsidRPr="0009687E">
        <w:rPr>
          <w:bCs/>
          <w:sz w:val="24"/>
          <w:szCs w:val="24"/>
        </w:rPr>
        <w:t>Section 8: Governance and Decision-Making in Dynamic Value Networks</w:t>
      </w:r>
      <w:bookmarkEnd w:id="116"/>
      <w:bookmarkEnd w:id="117"/>
      <w:r w:rsidRPr="0009687E">
        <w:rPr>
          <w:rFonts w:eastAsia="Times New Roman" w:cs="Times New Roman"/>
          <w:bCs/>
          <w:sz w:val="24"/>
          <w:szCs w:val="24"/>
        </w:rPr>
        <w:t xml:space="preserve"> </w:t>
      </w:r>
      <w:bookmarkEnd w:id="118"/>
    </w:p>
    <w:p w14:paraId="3FCACAA2"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Dynamic Value Networks (DVNs) require robust governance structures and decision-making processes to ensure effective collaboration, coordination, and value creation among network participants. This section delves into various aspects of governance and decision-making within DVNs, including principles, mechanisms, and challenges:</w:t>
      </w:r>
      <w:r w:rsidRPr="0009687E">
        <w:rPr>
          <w:rFonts w:asciiTheme="majorHAnsi" w:eastAsia="Times New Roman" w:hAnsiTheme="majorHAnsi" w:cs="Times New Roman"/>
          <w:bCs/>
          <w:sz w:val="24"/>
          <w:szCs w:val="24"/>
        </w:rPr>
        <w:t xml:space="preserve"> </w:t>
      </w:r>
    </w:p>
    <w:p w14:paraId="61CC79D9" w14:textId="77777777" w:rsidR="000D4A65" w:rsidRPr="0009687E" w:rsidRDefault="000D4A65" w:rsidP="000D4A65">
      <w:pPr>
        <w:pStyle w:val="Heading2"/>
        <w:ind w:left="-5"/>
        <w:rPr>
          <w:bCs/>
          <w:sz w:val="24"/>
          <w:szCs w:val="24"/>
        </w:rPr>
      </w:pPr>
      <w:bookmarkStart w:id="119" w:name="_Toc168210226"/>
      <w:bookmarkStart w:id="120" w:name="_Toc168210382"/>
      <w:bookmarkStart w:id="121" w:name="_Toc44635"/>
      <w:r w:rsidRPr="0009687E">
        <w:rPr>
          <w:bCs/>
          <w:sz w:val="24"/>
          <w:szCs w:val="24"/>
        </w:rPr>
        <w:t>8.1 Principles of Governance in DVNs</w:t>
      </w:r>
      <w:bookmarkEnd w:id="119"/>
      <w:bookmarkEnd w:id="120"/>
      <w:r w:rsidRPr="0009687E">
        <w:rPr>
          <w:rFonts w:eastAsia="Times New Roman" w:cs="Times New Roman"/>
          <w:bCs/>
          <w:sz w:val="24"/>
          <w:szCs w:val="24"/>
        </w:rPr>
        <w:t xml:space="preserve"> </w:t>
      </w:r>
      <w:bookmarkEnd w:id="121"/>
    </w:p>
    <w:p w14:paraId="7C6B613B"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Governance in DVNs is guided by principles that emphasize transparency, accountability, fairness, and inclusivity. These principles are essential for fostering trust, managing conflicts, and aligning interests among network participants. Key principles of governance in DVNs include:</w:t>
      </w:r>
      <w:r w:rsidRPr="0009687E">
        <w:rPr>
          <w:rFonts w:asciiTheme="majorHAnsi" w:eastAsia="Times New Roman" w:hAnsiTheme="majorHAnsi" w:cs="Times New Roman"/>
          <w:bCs/>
          <w:sz w:val="24"/>
          <w:szCs w:val="24"/>
        </w:rPr>
        <w:t xml:space="preserve"> </w:t>
      </w:r>
    </w:p>
    <w:p w14:paraId="3E7E07C0" w14:textId="77777777" w:rsidR="000D4A65" w:rsidRPr="0009687E" w:rsidRDefault="000D4A65" w:rsidP="00303A6C">
      <w:pPr>
        <w:numPr>
          <w:ilvl w:val="0"/>
          <w:numId w:val="49"/>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 xml:space="preserve">Transparency: Organizations promote transparency within DVNs by providing clear and accessible information about network objectives, rules, and decision-making processes. </w:t>
      </w:r>
    </w:p>
    <w:p w14:paraId="03FC1936"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Transparent governance practices build trust and confidence among network participants, enabling effective collaboration and value creation.</w:t>
      </w:r>
      <w:r w:rsidRPr="0009687E">
        <w:rPr>
          <w:rFonts w:asciiTheme="majorHAnsi" w:eastAsia="Times New Roman" w:hAnsiTheme="majorHAnsi" w:cs="Times New Roman"/>
          <w:bCs/>
          <w:sz w:val="24"/>
          <w:szCs w:val="24"/>
        </w:rPr>
        <w:t xml:space="preserve"> </w:t>
      </w:r>
    </w:p>
    <w:p w14:paraId="795FD287" w14:textId="77777777" w:rsidR="000D4A65" w:rsidRPr="0009687E" w:rsidRDefault="000D4A65" w:rsidP="00303A6C">
      <w:pPr>
        <w:numPr>
          <w:ilvl w:val="0"/>
          <w:numId w:val="49"/>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Accountability: Accountability mechanisms hold network participants accountable for their actions and decisions within DVNs. This includes establishing clear roles, responsibilities, and performance expectations, as well as mechanisms for monitoring and enforcing compliance with agreed-upon standards and norms.</w:t>
      </w:r>
      <w:r w:rsidRPr="0009687E">
        <w:rPr>
          <w:rFonts w:asciiTheme="majorHAnsi" w:eastAsia="Times New Roman" w:hAnsiTheme="majorHAnsi" w:cs="Times New Roman"/>
          <w:bCs/>
          <w:sz w:val="24"/>
          <w:szCs w:val="24"/>
        </w:rPr>
        <w:t xml:space="preserve"> </w:t>
      </w:r>
    </w:p>
    <w:p w14:paraId="6C1C81CC" w14:textId="77777777" w:rsidR="000D4A65" w:rsidRPr="0009687E" w:rsidRDefault="000D4A65" w:rsidP="00303A6C">
      <w:pPr>
        <w:numPr>
          <w:ilvl w:val="0"/>
          <w:numId w:val="49"/>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Fairness: Fairness is paramount in DVNs, ensuring that all network participants have equitable access to opportunities, resources, and benefits. Fair governance practices promote inclusivity, diversity, and equal treatment among stakeholders, fostering a sense of ownership and commitment to the network's success.</w:t>
      </w:r>
      <w:r w:rsidRPr="0009687E">
        <w:rPr>
          <w:rFonts w:asciiTheme="majorHAnsi" w:eastAsia="Times New Roman" w:hAnsiTheme="majorHAnsi" w:cs="Times New Roman"/>
          <w:bCs/>
          <w:sz w:val="24"/>
          <w:szCs w:val="24"/>
        </w:rPr>
        <w:t xml:space="preserve"> </w:t>
      </w:r>
    </w:p>
    <w:p w14:paraId="1CAC5996" w14:textId="77777777" w:rsidR="000D4A65" w:rsidRPr="0009687E" w:rsidRDefault="000D4A65" w:rsidP="00303A6C">
      <w:pPr>
        <w:numPr>
          <w:ilvl w:val="0"/>
          <w:numId w:val="49"/>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Inclusivity: Inclusivity involves engaging stakeholders from diverse backgrounds, perspectives, and interests in governance processes within DVNs. By incorporating diverse viewpoints and experiences, organizations can make more informed decisions, foster innovation, and enhance the legitimacy and credibility of governance structures.</w:t>
      </w:r>
      <w:r w:rsidRPr="0009687E">
        <w:rPr>
          <w:rFonts w:asciiTheme="majorHAnsi" w:eastAsia="Times New Roman" w:hAnsiTheme="majorHAnsi" w:cs="Times New Roman"/>
          <w:bCs/>
          <w:sz w:val="24"/>
          <w:szCs w:val="24"/>
        </w:rPr>
        <w:t xml:space="preserve"> </w:t>
      </w:r>
    </w:p>
    <w:p w14:paraId="1AF58751" w14:textId="77777777" w:rsidR="000D4A65" w:rsidRPr="0009687E" w:rsidRDefault="000D4A65" w:rsidP="000D4A65">
      <w:pPr>
        <w:pStyle w:val="Heading2"/>
        <w:ind w:left="-5"/>
        <w:rPr>
          <w:bCs/>
          <w:sz w:val="24"/>
          <w:szCs w:val="24"/>
        </w:rPr>
      </w:pPr>
      <w:bookmarkStart w:id="122" w:name="_Toc168210227"/>
      <w:bookmarkStart w:id="123" w:name="_Toc168210383"/>
      <w:bookmarkStart w:id="124" w:name="_Toc44636"/>
      <w:r w:rsidRPr="0009687E">
        <w:rPr>
          <w:bCs/>
          <w:sz w:val="24"/>
          <w:szCs w:val="24"/>
        </w:rPr>
        <w:t>8.2 Mechanisms for Governance in DVNs</w:t>
      </w:r>
      <w:bookmarkEnd w:id="122"/>
      <w:bookmarkEnd w:id="123"/>
      <w:r w:rsidRPr="0009687E">
        <w:rPr>
          <w:rFonts w:eastAsia="Times New Roman" w:cs="Times New Roman"/>
          <w:bCs/>
          <w:sz w:val="24"/>
          <w:szCs w:val="24"/>
        </w:rPr>
        <w:t xml:space="preserve"> </w:t>
      </w:r>
      <w:bookmarkEnd w:id="124"/>
    </w:p>
    <w:p w14:paraId="5854EE4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Governance mechanisms within DVNs encompass a range of tools, processes, and structures designed to facilitate collaboration, coordination, and decision-making among network participants. These mechanisms may vary in complexity and formality depending on the size, scope, and nature of the network. Common mechanisms for governance in DVNs include:</w:t>
      </w:r>
      <w:r w:rsidRPr="0009687E">
        <w:rPr>
          <w:rFonts w:asciiTheme="majorHAnsi" w:eastAsia="Times New Roman" w:hAnsiTheme="majorHAnsi" w:cs="Times New Roman"/>
          <w:bCs/>
          <w:sz w:val="24"/>
          <w:szCs w:val="24"/>
        </w:rPr>
        <w:t xml:space="preserve"> </w:t>
      </w:r>
    </w:p>
    <w:p w14:paraId="4D457740" w14:textId="77777777" w:rsidR="000D4A65" w:rsidRPr="0009687E" w:rsidRDefault="000D4A65" w:rsidP="00303A6C">
      <w:pPr>
        <w:numPr>
          <w:ilvl w:val="0"/>
          <w:numId w:val="50"/>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Governance Frameworks: Governance frameworks outline the rules, procedures, and decision-making processes that govern interactions and relationships within DVNs. These frameworks define roles, responsibilities, and accountability mechanisms, as well as mechanisms for resolving disputes and conflicts among network participants.</w:t>
      </w:r>
      <w:r w:rsidRPr="0009687E">
        <w:rPr>
          <w:rFonts w:asciiTheme="majorHAnsi" w:eastAsia="Times New Roman" w:hAnsiTheme="majorHAnsi" w:cs="Times New Roman"/>
          <w:bCs/>
          <w:sz w:val="24"/>
          <w:szCs w:val="24"/>
        </w:rPr>
        <w:t xml:space="preserve"> </w:t>
      </w:r>
    </w:p>
    <w:p w14:paraId="7CFCB633" w14:textId="77777777" w:rsidR="000D4A65" w:rsidRPr="0009687E" w:rsidRDefault="000D4A65" w:rsidP="00303A6C">
      <w:pPr>
        <w:numPr>
          <w:ilvl w:val="0"/>
          <w:numId w:val="50"/>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Governance Bodies: Governance bodies, such as steering committees, advisory boards, and working groups, provide oversight and direction for DVNs. These bodies are responsible for setting strategic priorities, monitoring performance, and making decisions on behalf of the network. Governance bodies may include representatives from various stakeholders, ensuring inclusivity and representation within DVNs.</w:t>
      </w:r>
      <w:r w:rsidRPr="0009687E">
        <w:rPr>
          <w:rFonts w:asciiTheme="majorHAnsi" w:eastAsia="Times New Roman" w:hAnsiTheme="majorHAnsi" w:cs="Times New Roman"/>
          <w:bCs/>
          <w:sz w:val="24"/>
          <w:szCs w:val="24"/>
        </w:rPr>
        <w:t xml:space="preserve"> </w:t>
      </w:r>
    </w:p>
    <w:p w14:paraId="05E6CE92" w14:textId="77777777" w:rsidR="000D4A65" w:rsidRPr="0009687E" w:rsidRDefault="000D4A65" w:rsidP="00303A6C">
      <w:pPr>
        <w:numPr>
          <w:ilvl w:val="0"/>
          <w:numId w:val="50"/>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 xml:space="preserve">Decision-Making Processes: Decision-making processes within DVNs involve identifying issues, gathering information, evaluating options, and reaching consensus among network participants. These processes may be centralized or decentralized, depending on the complexity and scale of the network. Effective decision-making processes prioritize transparency, participation, and accountability, enabling informed and collaborative </w:t>
      </w:r>
      <w:proofErr w:type="spellStart"/>
      <w:r w:rsidRPr="0009687E">
        <w:rPr>
          <w:rFonts w:asciiTheme="majorHAnsi" w:hAnsiTheme="majorHAnsi"/>
          <w:bCs/>
          <w:sz w:val="24"/>
          <w:szCs w:val="24"/>
        </w:rPr>
        <w:t>decisionmaking</w:t>
      </w:r>
      <w:proofErr w:type="spellEnd"/>
      <w:r w:rsidRPr="0009687E">
        <w:rPr>
          <w:rFonts w:asciiTheme="majorHAnsi" w:hAnsiTheme="majorHAnsi"/>
          <w:bCs/>
          <w:sz w:val="24"/>
          <w:szCs w:val="24"/>
        </w:rPr>
        <w:t xml:space="preserve"> within DVNs.</w:t>
      </w:r>
      <w:r w:rsidRPr="0009687E">
        <w:rPr>
          <w:rFonts w:asciiTheme="majorHAnsi" w:eastAsia="Times New Roman" w:hAnsiTheme="majorHAnsi" w:cs="Times New Roman"/>
          <w:bCs/>
          <w:sz w:val="24"/>
          <w:szCs w:val="24"/>
        </w:rPr>
        <w:t xml:space="preserve"> </w:t>
      </w:r>
    </w:p>
    <w:p w14:paraId="028F7D40" w14:textId="77777777" w:rsidR="000D4A65" w:rsidRPr="0009687E" w:rsidRDefault="000D4A65" w:rsidP="00303A6C">
      <w:pPr>
        <w:numPr>
          <w:ilvl w:val="0"/>
          <w:numId w:val="50"/>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Conflict Resolution Mechanisms: Conflict resolution mechanisms are essential for managing disputes and disagreements within DVNs. These mechanisms may include mediation, arbitration, or negotiation processes designed to facilitate constructive dialogue and reach mutually acceptable solutions. By addressing conflicts in a timely and effective manner, organizations can prevent disruptions and maintain harmony within DVNs.</w:t>
      </w:r>
      <w:r w:rsidRPr="0009687E">
        <w:rPr>
          <w:rFonts w:asciiTheme="majorHAnsi" w:eastAsia="Times New Roman" w:hAnsiTheme="majorHAnsi" w:cs="Times New Roman"/>
          <w:bCs/>
          <w:sz w:val="24"/>
          <w:szCs w:val="24"/>
        </w:rPr>
        <w:t xml:space="preserve"> </w:t>
      </w:r>
    </w:p>
    <w:p w14:paraId="55C4BB4B" w14:textId="77777777" w:rsidR="000D4A65" w:rsidRPr="0009687E" w:rsidRDefault="000D4A65" w:rsidP="000D4A65">
      <w:pPr>
        <w:pStyle w:val="Heading2"/>
        <w:ind w:left="-5"/>
        <w:rPr>
          <w:bCs/>
          <w:sz w:val="24"/>
          <w:szCs w:val="24"/>
        </w:rPr>
      </w:pPr>
      <w:bookmarkStart w:id="125" w:name="_Toc168210228"/>
      <w:bookmarkStart w:id="126" w:name="_Toc168210384"/>
      <w:bookmarkStart w:id="127" w:name="_Toc44637"/>
      <w:r w:rsidRPr="0009687E">
        <w:rPr>
          <w:bCs/>
          <w:sz w:val="24"/>
          <w:szCs w:val="24"/>
        </w:rPr>
        <w:t>8.3 Challenges and Considerations in Governance</w:t>
      </w:r>
      <w:bookmarkEnd w:id="125"/>
      <w:bookmarkEnd w:id="126"/>
      <w:r w:rsidRPr="0009687E">
        <w:rPr>
          <w:rFonts w:eastAsia="Times New Roman" w:cs="Times New Roman"/>
          <w:bCs/>
          <w:sz w:val="24"/>
          <w:szCs w:val="24"/>
        </w:rPr>
        <w:t xml:space="preserve"> </w:t>
      </w:r>
      <w:bookmarkEnd w:id="127"/>
    </w:p>
    <w:p w14:paraId="77520B2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Despite the importance of governance in DVNs, organizations may encounter various challenges and considerations in designing and implementing effective governance structures and processes. These challenges include:</w:t>
      </w:r>
      <w:r w:rsidRPr="0009687E">
        <w:rPr>
          <w:rFonts w:asciiTheme="majorHAnsi" w:eastAsia="Times New Roman" w:hAnsiTheme="majorHAnsi" w:cs="Times New Roman"/>
          <w:bCs/>
          <w:sz w:val="24"/>
          <w:szCs w:val="24"/>
        </w:rPr>
        <w:t xml:space="preserve"> </w:t>
      </w:r>
    </w:p>
    <w:p w14:paraId="2183D9E0" w14:textId="77777777" w:rsidR="000D4A65" w:rsidRPr="0009687E" w:rsidRDefault="000D4A65" w:rsidP="00303A6C">
      <w:pPr>
        <w:numPr>
          <w:ilvl w:val="0"/>
          <w:numId w:val="51"/>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Complexity: DVNs are inherently complex, involving multiple stakeholders, relationships, and dependencies. Designing governance structures that accommodate this complexity while promoting collaboration and alignment can be challenging. Organizations must balance the need for flexibility and adaptability with the need for clarity and coherence in governance processes.</w:t>
      </w:r>
      <w:r w:rsidRPr="0009687E">
        <w:rPr>
          <w:rFonts w:asciiTheme="majorHAnsi" w:eastAsia="Times New Roman" w:hAnsiTheme="majorHAnsi" w:cs="Times New Roman"/>
          <w:bCs/>
          <w:sz w:val="24"/>
          <w:szCs w:val="24"/>
        </w:rPr>
        <w:t xml:space="preserve"> </w:t>
      </w:r>
    </w:p>
    <w:p w14:paraId="5A4A2B15" w14:textId="77777777" w:rsidR="000D4A65" w:rsidRPr="0009687E" w:rsidRDefault="000D4A65" w:rsidP="00303A6C">
      <w:pPr>
        <w:numPr>
          <w:ilvl w:val="0"/>
          <w:numId w:val="51"/>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Power Dynamics: Power dynamics may influence governance processes within DVNs, with certain stakeholders wielding more influence or control over decision-making than others. Addressing power imbalances and ensuring equitable representation and participation among stakeholders is essential for fostering trust and legitimacy within DVNs.</w:t>
      </w:r>
      <w:r w:rsidRPr="0009687E">
        <w:rPr>
          <w:rFonts w:asciiTheme="majorHAnsi" w:eastAsia="Times New Roman" w:hAnsiTheme="majorHAnsi" w:cs="Times New Roman"/>
          <w:bCs/>
          <w:sz w:val="24"/>
          <w:szCs w:val="24"/>
        </w:rPr>
        <w:t xml:space="preserve"> </w:t>
      </w:r>
    </w:p>
    <w:p w14:paraId="6A63B41F" w14:textId="77777777" w:rsidR="000D4A65" w:rsidRPr="0009687E" w:rsidRDefault="000D4A65" w:rsidP="00303A6C">
      <w:pPr>
        <w:numPr>
          <w:ilvl w:val="0"/>
          <w:numId w:val="51"/>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Cultural Differences: Cultural differences among network participants may pose challenges to effective governance in DVNs. Diverse cultural norms, values, and communication styles may impact how decisions are made, conflicts are resolved, and relationships are managed within the network. Organizations must be sensitive to these cultural differences and adopt inclusive and culturally responsive governance practices.</w:t>
      </w:r>
      <w:r w:rsidRPr="0009687E">
        <w:rPr>
          <w:rFonts w:asciiTheme="majorHAnsi" w:eastAsia="Times New Roman" w:hAnsiTheme="majorHAnsi" w:cs="Times New Roman"/>
          <w:bCs/>
          <w:sz w:val="24"/>
          <w:szCs w:val="24"/>
        </w:rPr>
        <w:t xml:space="preserve"> </w:t>
      </w:r>
    </w:p>
    <w:p w14:paraId="0E01EDE5" w14:textId="77777777" w:rsidR="000D4A65" w:rsidRPr="0009687E" w:rsidRDefault="000D4A65" w:rsidP="00303A6C">
      <w:pPr>
        <w:numPr>
          <w:ilvl w:val="0"/>
          <w:numId w:val="51"/>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Legal and Regulatory Compliance: DVNs must comply with relevant legal and regulatory requirements governing their operations. Navigating complex legal frameworks and ensuring compliance with applicable laws and regulations can be challenging, particularly in multi-jurisdictional networks. Organizations must stay abreast of changes in legal and regulatory requirements and incorporate compliance considerations into governance processes.</w:t>
      </w:r>
      <w:r w:rsidRPr="0009687E">
        <w:rPr>
          <w:rFonts w:asciiTheme="majorHAnsi" w:eastAsia="Times New Roman" w:hAnsiTheme="majorHAnsi" w:cs="Times New Roman"/>
          <w:bCs/>
          <w:sz w:val="24"/>
          <w:szCs w:val="24"/>
        </w:rPr>
        <w:t xml:space="preserve"> </w:t>
      </w:r>
    </w:p>
    <w:p w14:paraId="7B101B7E" w14:textId="77777777" w:rsidR="000D4A65" w:rsidRPr="0009687E" w:rsidRDefault="000D4A65" w:rsidP="000D4A65">
      <w:pPr>
        <w:spacing w:after="354"/>
        <w:ind w:left="-5" w:right="3"/>
        <w:rPr>
          <w:rFonts w:asciiTheme="majorHAnsi" w:hAnsiTheme="majorHAnsi"/>
          <w:bCs/>
          <w:sz w:val="24"/>
          <w:szCs w:val="24"/>
        </w:rPr>
      </w:pPr>
      <w:r w:rsidRPr="0009687E">
        <w:rPr>
          <w:rFonts w:asciiTheme="majorHAnsi" w:hAnsiTheme="majorHAnsi"/>
          <w:bCs/>
          <w:sz w:val="24"/>
          <w:szCs w:val="24"/>
        </w:rPr>
        <w:t>In conclusion, governance and decision-making are critical components of Dynamic Value Networks (DVNs), enabling effective collaboration, coordination, and value creation among network participants. By adhering to principles of transparency, accountability, fairness, and inclusivity, and implementing appropriate governance mechanisms, organizations can overcome challenges and build resilient and sustainable DVNs.</w:t>
      </w:r>
      <w:r w:rsidRPr="0009687E">
        <w:rPr>
          <w:rFonts w:asciiTheme="majorHAnsi" w:eastAsia="Times New Roman" w:hAnsiTheme="majorHAnsi" w:cs="Times New Roman"/>
          <w:bCs/>
          <w:sz w:val="24"/>
          <w:szCs w:val="24"/>
        </w:rPr>
        <w:t xml:space="preserve"> </w:t>
      </w:r>
    </w:p>
    <w:p w14:paraId="33FB9E8B" w14:textId="77777777" w:rsidR="000D4A65" w:rsidRPr="0009687E" w:rsidRDefault="000D4A65" w:rsidP="000D4A65">
      <w:pPr>
        <w:pStyle w:val="Heading1"/>
        <w:ind w:left="-5"/>
        <w:rPr>
          <w:bCs/>
          <w:sz w:val="24"/>
          <w:szCs w:val="24"/>
        </w:rPr>
      </w:pPr>
      <w:bookmarkStart w:id="128" w:name="_Toc168210229"/>
      <w:bookmarkStart w:id="129" w:name="_Toc168210385"/>
      <w:bookmarkStart w:id="130" w:name="_Toc44638"/>
      <w:r w:rsidRPr="0009687E">
        <w:rPr>
          <w:bCs/>
          <w:sz w:val="24"/>
          <w:szCs w:val="24"/>
        </w:rPr>
        <w:t>Section 9: Innovation and Creativity in Dynamic Value Networks</w:t>
      </w:r>
      <w:bookmarkEnd w:id="128"/>
      <w:bookmarkEnd w:id="129"/>
      <w:r w:rsidRPr="0009687E">
        <w:rPr>
          <w:rFonts w:eastAsia="Times New Roman" w:cs="Times New Roman"/>
          <w:bCs/>
          <w:sz w:val="24"/>
          <w:szCs w:val="24"/>
        </w:rPr>
        <w:t xml:space="preserve"> </w:t>
      </w:r>
      <w:bookmarkEnd w:id="130"/>
    </w:p>
    <w:p w14:paraId="56FE1861"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Innovation and creativity are essential for driving value creation and competitive advantage within Dynamic Value Networks (DVNs). This section explores the role of innovation and creativity in DVNs, including strategies, processes, and challenges:</w:t>
      </w:r>
      <w:r w:rsidRPr="0009687E">
        <w:rPr>
          <w:rFonts w:asciiTheme="majorHAnsi" w:eastAsia="Times New Roman" w:hAnsiTheme="majorHAnsi" w:cs="Times New Roman"/>
          <w:bCs/>
          <w:sz w:val="24"/>
          <w:szCs w:val="24"/>
        </w:rPr>
        <w:t xml:space="preserve"> </w:t>
      </w:r>
    </w:p>
    <w:p w14:paraId="6CFA31EE" w14:textId="77777777" w:rsidR="000D4A65" w:rsidRPr="0009687E" w:rsidRDefault="000D4A65" w:rsidP="000D4A65">
      <w:pPr>
        <w:pStyle w:val="Heading2"/>
        <w:ind w:left="-5"/>
        <w:rPr>
          <w:bCs/>
          <w:sz w:val="24"/>
          <w:szCs w:val="24"/>
        </w:rPr>
      </w:pPr>
      <w:bookmarkStart w:id="131" w:name="_Toc168210230"/>
      <w:bookmarkStart w:id="132" w:name="_Toc168210386"/>
      <w:bookmarkStart w:id="133" w:name="_Toc44639"/>
      <w:r w:rsidRPr="0009687E">
        <w:rPr>
          <w:bCs/>
          <w:sz w:val="24"/>
          <w:szCs w:val="24"/>
        </w:rPr>
        <w:t>9.1 Role of Innovation in DVNs</w:t>
      </w:r>
      <w:bookmarkEnd w:id="131"/>
      <w:bookmarkEnd w:id="132"/>
      <w:r w:rsidRPr="0009687E">
        <w:rPr>
          <w:rFonts w:eastAsia="Times New Roman" w:cs="Times New Roman"/>
          <w:bCs/>
          <w:sz w:val="24"/>
          <w:szCs w:val="24"/>
        </w:rPr>
        <w:t xml:space="preserve"> </w:t>
      </w:r>
      <w:bookmarkEnd w:id="133"/>
    </w:p>
    <w:p w14:paraId="555A587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Innovation is central to the success of DVNs, enabling organizations to develop new products, services, and business models that meet evolving customer needs and market demands. Innovation within DVNs encompasses a range of activities, including product innovation, process innovation, business model innovation, and service innovation. Key roles of innovation in DVNs include:</w:t>
      </w:r>
      <w:r w:rsidRPr="0009687E">
        <w:rPr>
          <w:rFonts w:asciiTheme="majorHAnsi" w:eastAsia="Times New Roman" w:hAnsiTheme="majorHAnsi" w:cs="Times New Roman"/>
          <w:bCs/>
          <w:sz w:val="24"/>
          <w:szCs w:val="24"/>
        </w:rPr>
        <w:t xml:space="preserve"> </w:t>
      </w:r>
    </w:p>
    <w:p w14:paraId="0601BC4F" w14:textId="77777777" w:rsidR="000D4A65" w:rsidRPr="0009687E" w:rsidRDefault="000D4A65" w:rsidP="00303A6C">
      <w:pPr>
        <w:numPr>
          <w:ilvl w:val="0"/>
          <w:numId w:val="52"/>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Driving Value Creation: Innovation drives value creation within DVNs by identifying opportunities for new products, services, and revenue streams. By fostering a culture of innovation and experimentation, organizations can uncover new market opportunities, enhance customer experiences, and differentiate themselves from competitors within the network.</w:t>
      </w:r>
      <w:r w:rsidRPr="0009687E">
        <w:rPr>
          <w:rFonts w:asciiTheme="majorHAnsi" w:eastAsia="Times New Roman" w:hAnsiTheme="majorHAnsi" w:cs="Times New Roman"/>
          <w:bCs/>
          <w:sz w:val="24"/>
          <w:szCs w:val="24"/>
        </w:rPr>
        <w:t xml:space="preserve"> </w:t>
      </w:r>
    </w:p>
    <w:p w14:paraId="0BA1D0B5" w14:textId="77777777" w:rsidR="000D4A65" w:rsidRPr="0009687E" w:rsidRDefault="000D4A65" w:rsidP="00303A6C">
      <w:pPr>
        <w:numPr>
          <w:ilvl w:val="0"/>
          <w:numId w:val="52"/>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Enhancing Collaboration: Innovation fosters collaboration and knowledge sharing among network participants, enabling cross-pollination of ideas and expertise. Collaborative innovation initiatives, such as open innovation platforms, hackathons, and innovation challenges, bring together diverse stakeholders to solve complex problems and co-create value within DVNs.</w:t>
      </w:r>
      <w:r w:rsidRPr="0009687E">
        <w:rPr>
          <w:rFonts w:asciiTheme="majorHAnsi" w:eastAsia="Times New Roman" w:hAnsiTheme="majorHAnsi" w:cs="Times New Roman"/>
          <w:bCs/>
          <w:sz w:val="24"/>
          <w:szCs w:val="24"/>
        </w:rPr>
        <w:t xml:space="preserve"> </w:t>
      </w:r>
    </w:p>
    <w:p w14:paraId="59D07776" w14:textId="77777777" w:rsidR="000D4A65" w:rsidRPr="0009687E" w:rsidRDefault="000D4A65" w:rsidP="00303A6C">
      <w:pPr>
        <w:numPr>
          <w:ilvl w:val="0"/>
          <w:numId w:val="52"/>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Promoting Adaptation and Resilience: Innovation promotes adaptation and resilience within DVNs by enabling organizations to respond effectively to changing market conditions and disruptions. By embracing emerging technologies, trends, and market shifts, organizations can anticipate future challenges and opportunities, enabling them to pivot and adapt their strategies in real-time.</w:t>
      </w:r>
      <w:r w:rsidRPr="0009687E">
        <w:rPr>
          <w:rFonts w:asciiTheme="majorHAnsi" w:eastAsia="Times New Roman" w:hAnsiTheme="majorHAnsi" w:cs="Times New Roman"/>
          <w:bCs/>
          <w:sz w:val="24"/>
          <w:szCs w:val="24"/>
        </w:rPr>
        <w:t xml:space="preserve"> </w:t>
      </w:r>
    </w:p>
    <w:p w14:paraId="2D83BD30" w14:textId="77777777" w:rsidR="000D4A65" w:rsidRPr="0009687E" w:rsidRDefault="000D4A65" w:rsidP="000D4A65">
      <w:pPr>
        <w:pStyle w:val="Heading2"/>
        <w:ind w:left="-5"/>
        <w:rPr>
          <w:bCs/>
          <w:sz w:val="24"/>
          <w:szCs w:val="24"/>
        </w:rPr>
      </w:pPr>
      <w:bookmarkStart w:id="134" w:name="_Toc168210231"/>
      <w:bookmarkStart w:id="135" w:name="_Toc168210387"/>
      <w:bookmarkStart w:id="136" w:name="_Toc44640"/>
      <w:r w:rsidRPr="0009687E">
        <w:rPr>
          <w:bCs/>
          <w:sz w:val="24"/>
          <w:szCs w:val="24"/>
        </w:rPr>
        <w:t>9.2 Processes and Strategies for Innovation in DVNs</w:t>
      </w:r>
      <w:bookmarkEnd w:id="134"/>
      <w:bookmarkEnd w:id="135"/>
      <w:r w:rsidRPr="0009687E">
        <w:rPr>
          <w:rFonts w:eastAsia="Times New Roman" w:cs="Times New Roman"/>
          <w:bCs/>
          <w:sz w:val="24"/>
          <w:szCs w:val="24"/>
        </w:rPr>
        <w:t xml:space="preserve"> </w:t>
      </w:r>
      <w:bookmarkEnd w:id="136"/>
    </w:p>
    <w:p w14:paraId="31FDB3A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Effective innovation within DVNs requires structured processes, methodologies, and strategies that enable organizations to generate, capture, and commercialize innovative ideas. These processes may include:</w:t>
      </w:r>
      <w:r w:rsidRPr="0009687E">
        <w:rPr>
          <w:rFonts w:asciiTheme="majorHAnsi" w:eastAsia="Times New Roman" w:hAnsiTheme="majorHAnsi" w:cs="Times New Roman"/>
          <w:bCs/>
          <w:sz w:val="24"/>
          <w:szCs w:val="24"/>
        </w:rPr>
        <w:t xml:space="preserve"> </w:t>
      </w:r>
    </w:p>
    <w:p w14:paraId="6CE2DA7F" w14:textId="77777777" w:rsidR="000D4A65" w:rsidRPr="0009687E" w:rsidRDefault="000D4A65" w:rsidP="00303A6C">
      <w:pPr>
        <w:numPr>
          <w:ilvl w:val="0"/>
          <w:numId w:val="53"/>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Idea Generation: Idea generation involves generating and collecting ideas from diverse sources within DVNs, including employees, customers, partners, and other stakeholders. Techniques such as brainstorming sessions, ideation workshops, and crowdsourcing platforms can be used to solicit ideas and stimulate creativity within the network.</w:t>
      </w:r>
      <w:r w:rsidRPr="0009687E">
        <w:rPr>
          <w:rFonts w:asciiTheme="majorHAnsi" w:eastAsia="Times New Roman" w:hAnsiTheme="majorHAnsi" w:cs="Times New Roman"/>
          <w:bCs/>
          <w:sz w:val="24"/>
          <w:szCs w:val="24"/>
        </w:rPr>
        <w:t xml:space="preserve"> </w:t>
      </w:r>
    </w:p>
    <w:p w14:paraId="55E5347E" w14:textId="77777777" w:rsidR="000D4A65" w:rsidRPr="0009687E" w:rsidRDefault="000D4A65" w:rsidP="00303A6C">
      <w:pPr>
        <w:numPr>
          <w:ilvl w:val="0"/>
          <w:numId w:val="53"/>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Idea Screening and Evaluation: Idea screening and evaluation involve assessing the feasibility, viability, and desirability of potential innovation ideas within DVNs. Organizations use criteria such as market potential, technical feasibility, and strategic alignment to evaluate ideas and prioritize those with the greatest potential for value creation and impact.</w:t>
      </w:r>
      <w:r w:rsidRPr="0009687E">
        <w:rPr>
          <w:rFonts w:asciiTheme="majorHAnsi" w:eastAsia="Times New Roman" w:hAnsiTheme="majorHAnsi" w:cs="Times New Roman"/>
          <w:bCs/>
          <w:sz w:val="24"/>
          <w:szCs w:val="24"/>
        </w:rPr>
        <w:t xml:space="preserve"> </w:t>
      </w:r>
    </w:p>
    <w:p w14:paraId="551BB770" w14:textId="77777777" w:rsidR="000D4A65" w:rsidRPr="0009687E" w:rsidRDefault="000D4A65" w:rsidP="00303A6C">
      <w:pPr>
        <w:numPr>
          <w:ilvl w:val="0"/>
          <w:numId w:val="53"/>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Prototyping and Experimentation: Prototyping and experimentation enable organizations to test and validate innovative ideas within DVNs before scaling them to market. Prototypes, minimum viable products (MVPs), and pilot projects allow organizations to gather feedback, iterate on designs, and refine solutions based on real-world data and user insights.</w:t>
      </w:r>
      <w:r w:rsidRPr="0009687E">
        <w:rPr>
          <w:rFonts w:asciiTheme="majorHAnsi" w:eastAsia="Times New Roman" w:hAnsiTheme="majorHAnsi" w:cs="Times New Roman"/>
          <w:bCs/>
          <w:sz w:val="24"/>
          <w:szCs w:val="24"/>
        </w:rPr>
        <w:t xml:space="preserve"> </w:t>
      </w:r>
    </w:p>
    <w:p w14:paraId="23593295" w14:textId="77777777" w:rsidR="000D4A65" w:rsidRPr="0009687E" w:rsidRDefault="000D4A65" w:rsidP="00303A6C">
      <w:pPr>
        <w:numPr>
          <w:ilvl w:val="0"/>
          <w:numId w:val="53"/>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Commercialization and Scaling: Commercialization and scaling involve bringing innovative ideas to market and scaling them to achieve widespread adoption and impact within DVNs. This may involve developing go-to-market strategies, securing funding and resources, and building partnerships to accelerate growth and expansion.</w:t>
      </w:r>
      <w:r w:rsidRPr="0009687E">
        <w:rPr>
          <w:rFonts w:asciiTheme="majorHAnsi" w:eastAsia="Times New Roman" w:hAnsiTheme="majorHAnsi" w:cs="Times New Roman"/>
          <w:bCs/>
          <w:sz w:val="24"/>
          <w:szCs w:val="24"/>
        </w:rPr>
        <w:t xml:space="preserve"> </w:t>
      </w:r>
    </w:p>
    <w:p w14:paraId="2FF65160" w14:textId="77777777" w:rsidR="000D4A65" w:rsidRPr="0009687E" w:rsidRDefault="000D4A65" w:rsidP="000D4A65">
      <w:pPr>
        <w:pStyle w:val="Heading2"/>
        <w:ind w:left="-5"/>
        <w:rPr>
          <w:bCs/>
          <w:sz w:val="24"/>
          <w:szCs w:val="24"/>
        </w:rPr>
      </w:pPr>
      <w:bookmarkStart w:id="137" w:name="_Toc168210232"/>
      <w:bookmarkStart w:id="138" w:name="_Toc168210388"/>
      <w:bookmarkStart w:id="139" w:name="_Toc44641"/>
      <w:r w:rsidRPr="0009687E">
        <w:rPr>
          <w:bCs/>
          <w:sz w:val="24"/>
          <w:szCs w:val="24"/>
        </w:rPr>
        <w:t>9.3 Challenges and Considerations in Innovation</w:t>
      </w:r>
      <w:bookmarkEnd w:id="137"/>
      <w:bookmarkEnd w:id="138"/>
      <w:r w:rsidRPr="0009687E">
        <w:rPr>
          <w:rFonts w:eastAsia="Times New Roman" w:cs="Times New Roman"/>
          <w:bCs/>
          <w:sz w:val="24"/>
          <w:szCs w:val="24"/>
        </w:rPr>
        <w:t xml:space="preserve"> </w:t>
      </w:r>
      <w:bookmarkEnd w:id="139"/>
    </w:p>
    <w:p w14:paraId="179CA226"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While innovation is essential for driving value creation within DVNs, organizations may face various challenges and considerations in fostering a culture of innovation and creativity. These challenges include:</w:t>
      </w:r>
      <w:r w:rsidRPr="0009687E">
        <w:rPr>
          <w:rFonts w:asciiTheme="majorHAnsi" w:eastAsia="Times New Roman" w:hAnsiTheme="majorHAnsi" w:cs="Times New Roman"/>
          <w:bCs/>
          <w:sz w:val="24"/>
          <w:szCs w:val="24"/>
        </w:rPr>
        <w:t xml:space="preserve"> </w:t>
      </w:r>
    </w:p>
    <w:p w14:paraId="6F055036" w14:textId="77777777" w:rsidR="000D4A65" w:rsidRPr="0009687E" w:rsidRDefault="000D4A65" w:rsidP="00303A6C">
      <w:pPr>
        <w:numPr>
          <w:ilvl w:val="0"/>
          <w:numId w:val="54"/>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Risk Aversion: Risk aversion may inhibit innovation within DVNs, with organizations reluctant to take risks or experiment with new ideas due to fear of failure or uncertainty. Overcoming risk aversion requires fostering a culture of psychological safety, experimentation, and learning within the network, where failure is viewed as a valuable learning experience.</w:t>
      </w:r>
      <w:r w:rsidRPr="0009687E">
        <w:rPr>
          <w:rFonts w:asciiTheme="majorHAnsi" w:eastAsia="Times New Roman" w:hAnsiTheme="majorHAnsi" w:cs="Times New Roman"/>
          <w:bCs/>
          <w:sz w:val="24"/>
          <w:szCs w:val="24"/>
        </w:rPr>
        <w:t xml:space="preserve"> </w:t>
      </w:r>
    </w:p>
    <w:p w14:paraId="39E3219A" w14:textId="77777777" w:rsidR="000D4A65" w:rsidRPr="0009687E" w:rsidRDefault="000D4A65" w:rsidP="00303A6C">
      <w:pPr>
        <w:numPr>
          <w:ilvl w:val="0"/>
          <w:numId w:val="54"/>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Siloed Thinking: Siloed thinking and departmental barriers may impede innovation within DVNs, with organizations failing to leverage the diverse expertise and perspectives of network participants. Breaking down silos and fostering cross-functional collaboration is essential for fostering innovation and creativity within DVNs, enabling the free flow of ideas and knowledge across organizational boundaries.</w:t>
      </w:r>
      <w:r w:rsidRPr="0009687E">
        <w:rPr>
          <w:rFonts w:asciiTheme="majorHAnsi" w:eastAsia="Times New Roman" w:hAnsiTheme="majorHAnsi" w:cs="Times New Roman"/>
          <w:bCs/>
          <w:sz w:val="24"/>
          <w:szCs w:val="24"/>
        </w:rPr>
        <w:t xml:space="preserve"> </w:t>
      </w:r>
    </w:p>
    <w:p w14:paraId="598CDFB2" w14:textId="77777777" w:rsidR="000D4A65" w:rsidRPr="0009687E" w:rsidRDefault="000D4A65" w:rsidP="00303A6C">
      <w:pPr>
        <w:numPr>
          <w:ilvl w:val="0"/>
          <w:numId w:val="54"/>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Resource Constraints: Resource constraints, such as limited funding, talent shortages, and time constraints, may hinder innovation within DVNs. Organizations must allocate sufficient resources and invest in innovation capabilities, such as research and development (R&amp;D), talent development, and innovation infrastructure, to support innovation initiatives and drive value creation within the network.</w:t>
      </w:r>
      <w:r w:rsidRPr="0009687E">
        <w:rPr>
          <w:rFonts w:asciiTheme="majorHAnsi" w:eastAsia="Times New Roman" w:hAnsiTheme="majorHAnsi" w:cs="Times New Roman"/>
          <w:bCs/>
          <w:sz w:val="24"/>
          <w:szCs w:val="24"/>
        </w:rPr>
        <w:t xml:space="preserve"> </w:t>
      </w:r>
    </w:p>
    <w:p w14:paraId="0C6E85D6" w14:textId="77777777" w:rsidR="000D4A65" w:rsidRPr="0009687E" w:rsidRDefault="000D4A65" w:rsidP="00303A6C">
      <w:pPr>
        <w:numPr>
          <w:ilvl w:val="0"/>
          <w:numId w:val="54"/>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Intellectual Property Protection: Intellectual property protection is a critical consideration in innovation within DVNs, with organizations needing to safeguard their proprietary technologies, ideas, and innovations from unauthorized use or exploitation. Implementing robust intellectual property strategies and agreements, such as patents, trademarks, and licensing arrangements, can help protect valuable intellectual assets and incentivize innovation within the network.</w:t>
      </w:r>
      <w:r w:rsidRPr="0009687E">
        <w:rPr>
          <w:rFonts w:asciiTheme="majorHAnsi" w:eastAsia="Times New Roman" w:hAnsiTheme="majorHAnsi" w:cs="Times New Roman"/>
          <w:bCs/>
          <w:sz w:val="24"/>
          <w:szCs w:val="24"/>
        </w:rPr>
        <w:t xml:space="preserve"> </w:t>
      </w:r>
    </w:p>
    <w:p w14:paraId="071111E0" w14:textId="77777777" w:rsidR="000D4A65" w:rsidRPr="0009687E" w:rsidRDefault="000D4A65" w:rsidP="000D4A65">
      <w:pPr>
        <w:spacing w:after="354"/>
        <w:ind w:left="-5" w:right="3"/>
        <w:rPr>
          <w:rFonts w:asciiTheme="majorHAnsi" w:hAnsiTheme="majorHAnsi"/>
          <w:bCs/>
          <w:sz w:val="24"/>
          <w:szCs w:val="24"/>
        </w:rPr>
      </w:pPr>
      <w:r w:rsidRPr="0009687E">
        <w:rPr>
          <w:rFonts w:asciiTheme="majorHAnsi" w:hAnsiTheme="majorHAnsi"/>
          <w:bCs/>
          <w:sz w:val="24"/>
          <w:szCs w:val="24"/>
        </w:rPr>
        <w:t>In conclusion, innovation and creativity are essential for driving value creation and competitive advantage within Dynamic Value Networks (DVNs). By fostering a culture of innovation, implementing structured processes and strategies, and overcoming challenges and barriers, organizations can harness the collective creativity and expertise of network participants to drive innovation and shape the future of the networked economy.</w:t>
      </w:r>
      <w:r w:rsidRPr="0009687E">
        <w:rPr>
          <w:rFonts w:asciiTheme="majorHAnsi" w:eastAsia="Times New Roman" w:hAnsiTheme="majorHAnsi" w:cs="Times New Roman"/>
          <w:bCs/>
          <w:sz w:val="24"/>
          <w:szCs w:val="24"/>
        </w:rPr>
        <w:t xml:space="preserve"> </w:t>
      </w:r>
    </w:p>
    <w:p w14:paraId="34E77B84" w14:textId="77777777" w:rsidR="000D4A65" w:rsidRPr="0009687E" w:rsidRDefault="000D4A65" w:rsidP="000D4A65">
      <w:pPr>
        <w:pStyle w:val="Heading1"/>
        <w:ind w:left="-5"/>
        <w:rPr>
          <w:bCs/>
          <w:sz w:val="24"/>
          <w:szCs w:val="24"/>
        </w:rPr>
      </w:pPr>
      <w:bookmarkStart w:id="140" w:name="_Toc168210233"/>
      <w:bookmarkStart w:id="141" w:name="_Toc168210389"/>
      <w:bookmarkStart w:id="142" w:name="_Toc44642"/>
      <w:r w:rsidRPr="0009687E">
        <w:rPr>
          <w:bCs/>
          <w:sz w:val="24"/>
          <w:szCs w:val="24"/>
        </w:rPr>
        <w:t>Section 10: Talent Management and Development in Dynamic Value Networks</w:t>
      </w:r>
      <w:bookmarkEnd w:id="140"/>
      <w:bookmarkEnd w:id="141"/>
      <w:r w:rsidRPr="0009687E">
        <w:rPr>
          <w:rFonts w:eastAsia="Times New Roman" w:cs="Times New Roman"/>
          <w:bCs/>
          <w:sz w:val="24"/>
          <w:szCs w:val="24"/>
        </w:rPr>
        <w:t xml:space="preserve"> </w:t>
      </w:r>
      <w:bookmarkEnd w:id="142"/>
    </w:p>
    <w:p w14:paraId="2F7A592F"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Talent management and development are critical components of building and sustaining </w:t>
      </w:r>
      <w:proofErr w:type="spellStart"/>
      <w:proofErr w:type="gramStart"/>
      <w:r w:rsidRPr="0009687E">
        <w:rPr>
          <w:rFonts w:asciiTheme="majorHAnsi" w:hAnsiTheme="majorHAnsi"/>
          <w:bCs/>
          <w:sz w:val="24"/>
          <w:szCs w:val="24"/>
        </w:rPr>
        <w:t>highperforming</w:t>
      </w:r>
      <w:proofErr w:type="spellEnd"/>
      <w:proofErr w:type="gramEnd"/>
      <w:r w:rsidRPr="0009687E">
        <w:rPr>
          <w:rFonts w:asciiTheme="majorHAnsi" w:hAnsiTheme="majorHAnsi"/>
          <w:bCs/>
          <w:sz w:val="24"/>
          <w:szCs w:val="24"/>
        </w:rPr>
        <w:t xml:space="preserve"> Dynamic Value Networks (DVNs). This section explores the role of talent management in DVNs, including strategies, practices, and challenges:</w:t>
      </w:r>
      <w:r w:rsidRPr="0009687E">
        <w:rPr>
          <w:rFonts w:asciiTheme="majorHAnsi" w:eastAsia="Times New Roman" w:hAnsiTheme="majorHAnsi" w:cs="Times New Roman"/>
          <w:bCs/>
          <w:sz w:val="24"/>
          <w:szCs w:val="24"/>
        </w:rPr>
        <w:t xml:space="preserve"> </w:t>
      </w:r>
    </w:p>
    <w:p w14:paraId="03BC3EF0" w14:textId="77777777" w:rsidR="000D4A65" w:rsidRPr="0009687E" w:rsidRDefault="000D4A65" w:rsidP="000D4A65">
      <w:pPr>
        <w:pStyle w:val="Heading2"/>
        <w:ind w:left="-5"/>
        <w:rPr>
          <w:bCs/>
          <w:sz w:val="24"/>
          <w:szCs w:val="24"/>
        </w:rPr>
      </w:pPr>
      <w:bookmarkStart w:id="143" w:name="_Toc168210234"/>
      <w:bookmarkStart w:id="144" w:name="_Toc168210390"/>
      <w:bookmarkStart w:id="145" w:name="_Toc44643"/>
      <w:r w:rsidRPr="0009687E">
        <w:rPr>
          <w:bCs/>
          <w:sz w:val="24"/>
          <w:szCs w:val="24"/>
        </w:rPr>
        <w:t>10.1 Importance of Talent Management in DVNs</w:t>
      </w:r>
      <w:bookmarkEnd w:id="143"/>
      <w:bookmarkEnd w:id="144"/>
      <w:r w:rsidRPr="0009687E">
        <w:rPr>
          <w:rFonts w:eastAsia="Times New Roman" w:cs="Times New Roman"/>
          <w:bCs/>
          <w:sz w:val="24"/>
          <w:szCs w:val="24"/>
        </w:rPr>
        <w:t xml:space="preserve"> </w:t>
      </w:r>
      <w:bookmarkEnd w:id="145"/>
    </w:p>
    <w:p w14:paraId="67C72F0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Talent management is essential for attracting, developing, and retaining the diverse skills, expertise, and capabilities needed to drive value creation within DVNs. The success of DVNs depends on the collective talent and contributions of network participants, including employees, partners, contractors, and other stakeholders. Key aspects of talent management in DVNs include:</w:t>
      </w:r>
      <w:r w:rsidRPr="0009687E">
        <w:rPr>
          <w:rFonts w:asciiTheme="majorHAnsi" w:eastAsia="Times New Roman" w:hAnsiTheme="majorHAnsi" w:cs="Times New Roman"/>
          <w:bCs/>
          <w:sz w:val="24"/>
          <w:szCs w:val="24"/>
        </w:rPr>
        <w:t xml:space="preserve"> </w:t>
      </w:r>
    </w:p>
    <w:p w14:paraId="5F637E46" w14:textId="77777777" w:rsidR="000D4A65" w:rsidRPr="0009687E" w:rsidRDefault="000D4A65" w:rsidP="00303A6C">
      <w:pPr>
        <w:numPr>
          <w:ilvl w:val="0"/>
          <w:numId w:val="55"/>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Attracting Top Talent: DVNs compete for top talent in the global marketplace, requiring organizations to develop employer branding strategies and recruitment initiatives that attract skilled and experienced professionals to the network. By offering competitive compensation, benefits, and career development opportunities, organizations can attract top talent and build a high-performing workforce within the network.</w:t>
      </w:r>
      <w:r w:rsidRPr="0009687E">
        <w:rPr>
          <w:rFonts w:asciiTheme="majorHAnsi" w:eastAsia="Times New Roman" w:hAnsiTheme="majorHAnsi" w:cs="Times New Roman"/>
          <w:bCs/>
          <w:sz w:val="24"/>
          <w:szCs w:val="24"/>
        </w:rPr>
        <w:t xml:space="preserve"> </w:t>
      </w:r>
    </w:p>
    <w:p w14:paraId="06F02AC2" w14:textId="77777777" w:rsidR="000D4A65" w:rsidRPr="0009687E" w:rsidRDefault="000D4A65" w:rsidP="00303A6C">
      <w:pPr>
        <w:numPr>
          <w:ilvl w:val="0"/>
          <w:numId w:val="55"/>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Developing Skills and Capabilities: Developing skills and capabilities is essential for enabling network participants to thrive and succeed within DVNs. Organizations invest in training, development, and learning initiatives that enhance the competencies, knowledge, and expertise of employees and partners, enabling them to adapt to changing roles and responsibilities within the network.</w:t>
      </w:r>
      <w:r w:rsidRPr="0009687E">
        <w:rPr>
          <w:rFonts w:asciiTheme="majorHAnsi" w:eastAsia="Times New Roman" w:hAnsiTheme="majorHAnsi" w:cs="Times New Roman"/>
          <w:bCs/>
          <w:sz w:val="24"/>
          <w:szCs w:val="24"/>
        </w:rPr>
        <w:t xml:space="preserve"> </w:t>
      </w:r>
    </w:p>
    <w:p w14:paraId="46A51A76" w14:textId="77777777" w:rsidR="000D4A65" w:rsidRPr="0009687E" w:rsidRDefault="000D4A65" w:rsidP="00303A6C">
      <w:pPr>
        <w:numPr>
          <w:ilvl w:val="0"/>
          <w:numId w:val="55"/>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Fostering Collaboration and Teamwork: Collaboration and teamwork are critical for driving value creation within DVNs, requiring organizations to foster a culture of collaboration, trust, and mutual respect among network participants. By promoting cross-functional teams, knowledge sharing, and collaboration tools and technologies, organizations can enhance collaboration and teamwork within the network.</w:t>
      </w:r>
      <w:r w:rsidRPr="0009687E">
        <w:rPr>
          <w:rFonts w:asciiTheme="majorHAnsi" w:eastAsia="Times New Roman" w:hAnsiTheme="majorHAnsi" w:cs="Times New Roman"/>
          <w:bCs/>
          <w:sz w:val="24"/>
          <w:szCs w:val="24"/>
        </w:rPr>
        <w:t xml:space="preserve"> </w:t>
      </w:r>
    </w:p>
    <w:p w14:paraId="46F4ED5E" w14:textId="77777777" w:rsidR="000D4A65" w:rsidRPr="0009687E" w:rsidRDefault="000D4A65" w:rsidP="00303A6C">
      <w:pPr>
        <w:numPr>
          <w:ilvl w:val="0"/>
          <w:numId w:val="55"/>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Recognizing and Rewarding Performance: Recognizing and rewarding performance is essential for motivating and retaining top talent within DVNs. Organizations implement performance management systems, recognition programs, and incentive structures that reward individuals and teams for their contributions to value creation and success within the network.</w:t>
      </w:r>
      <w:r w:rsidRPr="0009687E">
        <w:rPr>
          <w:rFonts w:asciiTheme="majorHAnsi" w:eastAsia="Times New Roman" w:hAnsiTheme="majorHAnsi" w:cs="Times New Roman"/>
          <w:bCs/>
          <w:sz w:val="24"/>
          <w:szCs w:val="24"/>
        </w:rPr>
        <w:t xml:space="preserve"> </w:t>
      </w:r>
    </w:p>
    <w:p w14:paraId="3D431A72" w14:textId="77777777" w:rsidR="000D4A65" w:rsidRPr="0009687E" w:rsidRDefault="000D4A65" w:rsidP="000D4A65">
      <w:pPr>
        <w:pStyle w:val="Heading2"/>
        <w:ind w:left="-5"/>
        <w:rPr>
          <w:bCs/>
          <w:sz w:val="24"/>
          <w:szCs w:val="24"/>
        </w:rPr>
      </w:pPr>
      <w:bookmarkStart w:id="146" w:name="_Toc168210235"/>
      <w:bookmarkStart w:id="147" w:name="_Toc168210391"/>
      <w:bookmarkStart w:id="148" w:name="_Toc44644"/>
      <w:r w:rsidRPr="0009687E">
        <w:rPr>
          <w:bCs/>
          <w:sz w:val="24"/>
          <w:szCs w:val="24"/>
        </w:rPr>
        <w:t>10.2 Strategies and Practices for Talent Management in DVNs</w:t>
      </w:r>
      <w:bookmarkEnd w:id="146"/>
      <w:bookmarkEnd w:id="147"/>
      <w:r w:rsidRPr="0009687E">
        <w:rPr>
          <w:rFonts w:eastAsia="Times New Roman" w:cs="Times New Roman"/>
          <w:bCs/>
          <w:sz w:val="24"/>
          <w:szCs w:val="24"/>
        </w:rPr>
        <w:t xml:space="preserve"> </w:t>
      </w:r>
      <w:bookmarkEnd w:id="148"/>
    </w:p>
    <w:p w14:paraId="525A657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Effective talent management in DVNs requires structured strategies, practices, and initiatives that enable organizations to attract, develop, and retain top talent. These strategies may include:</w:t>
      </w:r>
      <w:r w:rsidRPr="0009687E">
        <w:rPr>
          <w:rFonts w:asciiTheme="majorHAnsi" w:eastAsia="Times New Roman" w:hAnsiTheme="majorHAnsi" w:cs="Times New Roman"/>
          <w:bCs/>
          <w:sz w:val="24"/>
          <w:szCs w:val="24"/>
        </w:rPr>
        <w:t xml:space="preserve"> </w:t>
      </w:r>
    </w:p>
    <w:p w14:paraId="70F2C50A" w14:textId="77777777" w:rsidR="000D4A65" w:rsidRPr="0009687E" w:rsidRDefault="000D4A65" w:rsidP="00303A6C">
      <w:pPr>
        <w:numPr>
          <w:ilvl w:val="0"/>
          <w:numId w:val="56"/>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Talent Acquisition and Onboarding: Organizations develop recruitment and onboarding processes that attract top talent to the network and ensure a smooth transition into the organization. This may involve leveraging employer branding, recruitment marketing, and candidate assessment techniques to identify and attract qualified candidates to the network.</w:t>
      </w:r>
      <w:r w:rsidRPr="0009687E">
        <w:rPr>
          <w:rFonts w:asciiTheme="majorHAnsi" w:eastAsia="Times New Roman" w:hAnsiTheme="majorHAnsi" w:cs="Times New Roman"/>
          <w:bCs/>
          <w:sz w:val="24"/>
          <w:szCs w:val="24"/>
        </w:rPr>
        <w:t xml:space="preserve"> </w:t>
      </w:r>
    </w:p>
    <w:p w14:paraId="2C7E0FCA" w14:textId="77777777" w:rsidR="000D4A65" w:rsidRPr="0009687E" w:rsidRDefault="000D4A65" w:rsidP="00303A6C">
      <w:pPr>
        <w:numPr>
          <w:ilvl w:val="0"/>
          <w:numId w:val="56"/>
        </w:numPr>
        <w:spacing w:after="0" w:line="265" w:lineRule="auto"/>
        <w:ind w:right="3" w:hanging="360"/>
        <w:rPr>
          <w:rFonts w:asciiTheme="majorHAnsi" w:hAnsiTheme="majorHAnsi"/>
          <w:bCs/>
          <w:sz w:val="24"/>
          <w:szCs w:val="24"/>
        </w:rPr>
      </w:pPr>
      <w:r w:rsidRPr="0009687E">
        <w:rPr>
          <w:rFonts w:asciiTheme="majorHAnsi" w:hAnsiTheme="majorHAnsi"/>
          <w:bCs/>
          <w:sz w:val="24"/>
          <w:szCs w:val="24"/>
        </w:rPr>
        <w:t xml:space="preserve">Learning and Development: Learning and development initiatives are essential for building the skills, capabilities, and expertise of network participants within DVNs. </w:t>
      </w:r>
    </w:p>
    <w:p w14:paraId="7B30754C"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Organizations invest in training programs, leadership development initiatives, and continuous learning opportunities that enable employees and partners to enhance their skills and adapt to changing roles and responsibilities within the network.</w:t>
      </w:r>
      <w:r w:rsidRPr="0009687E">
        <w:rPr>
          <w:rFonts w:asciiTheme="majorHAnsi" w:eastAsia="Times New Roman" w:hAnsiTheme="majorHAnsi" w:cs="Times New Roman"/>
          <w:bCs/>
          <w:sz w:val="24"/>
          <w:szCs w:val="24"/>
        </w:rPr>
        <w:t xml:space="preserve"> </w:t>
      </w:r>
    </w:p>
    <w:p w14:paraId="0D10D84D" w14:textId="77777777" w:rsidR="000D4A65" w:rsidRPr="0009687E" w:rsidRDefault="000D4A65" w:rsidP="00303A6C">
      <w:pPr>
        <w:numPr>
          <w:ilvl w:val="0"/>
          <w:numId w:val="56"/>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Performance Management and Feedback: Performance management systems provide a framework for setting expectations, assessing performance, and providing feedback to employees and partners within DVNs. Organizations implement performance appraisal processes, goalsetting mechanisms, and feedback mechanisms that enable individuals and teams to track their progress, receive constructive feedback, and align their efforts with organizational goals and objectives.</w:t>
      </w:r>
      <w:r w:rsidRPr="0009687E">
        <w:rPr>
          <w:rFonts w:asciiTheme="majorHAnsi" w:eastAsia="Times New Roman" w:hAnsiTheme="majorHAnsi" w:cs="Times New Roman"/>
          <w:bCs/>
          <w:sz w:val="24"/>
          <w:szCs w:val="24"/>
        </w:rPr>
        <w:t xml:space="preserve"> </w:t>
      </w:r>
    </w:p>
    <w:p w14:paraId="5A46C6D5" w14:textId="77777777" w:rsidR="000D4A65" w:rsidRPr="0009687E" w:rsidRDefault="000D4A65" w:rsidP="00303A6C">
      <w:pPr>
        <w:numPr>
          <w:ilvl w:val="0"/>
          <w:numId w:val="56"/>
        </w:numPr>
        <w:spacing w:after="351" w:line="265" w:lineRule="auto"/>
        <w:ind w:right="3" w:hanging="360"/>
        <w:rPr>
          <w:rFonts w:asciiTheme="majorHAnsi" w:hAnsiTheme="majorHAnsi"/>
          <w:bCs/>
          <w:sz w:val="24"/>
          <w:szCs w:val="24"/>
        </w:rPr>
      </w:pPr>
      <w:r w:rsidRPr="0009687E">
        <w:rPr>
          <w:rFonts w:asciiTheme="majorHAnsi" w:hAnsiTheme="majorHAnsi"/>
          <w:bCs/>
          <w:sz w:val="24"/>
          <w:szCs w:val="24"/>
        </w:rPr>
        <w:t>Career Development and Advancement: Career development opportunities are essential for retaining top talent and fostering long-term engagement within DVNs. Organizations offer career development programs, mentorship opportunities, and advancement pathways that enable employees and partners to grow and advance within the network, while also aligning their career aspirations with organizational goals and objectives.</w:t>
      </w:r>
      <w:r w:rsidRPr="0009687E">
        <w:rPr>
          <w:rFonts w:asciiTheme="majorHAnsi" w:eastAsia="Times New Roman" w:hAnsiTheme="majorHAnsi" w:cs="Times New Roman"/>
          <w:bCs/>
          <w:sz w:val="24"/>
          <w:szCs w:val="24"/>
        </w:rPr>
        <w:t xml:space="preserve"> </w:t>
      </w:r>
    </w:p>
    <w:p w14:paraId="6846B072" w14:textId="77777777" w:rsidR="000D4A65" w:rsidRPr="0009687E" w:rsidRDefault="000D4A65" w:rsidP="000D4A65">
      <w:pPr>
        <w:pStyle w:val="Heading1"/>
        <w:ind w:left="-5"/>
        <w:rPr>
          <w:bCs/>
          <w:sz w:val="24"/>
          <w:szCs w:val="24"/>
        </w:rPr>
      </w:pPr>
      <w:bookmarkStart w:id="149" w:name="_Toc168210236"/>
      <w:bookmarkStart w:id="150" w:name="_Toc168210392"/>
      <w:bookmarkStart w:id="151" w:name="_Toc44645"/>
      <w:r w:rsidRPr="0009687E">
        <w:rPr>
          <w:bCs/>
          <w:sz w:val="24"/>
          <w:szCs w:val="24"/>
        </w:rPr>
        <w:t>10.3 Challenges and Considerations in Talent Management</w:t>
      </w:r>
      <w:bookmarkEnd w:id="149"/>
      <w:bookmarkEnd w:id="150"/>
      <w:r w:rsidRPr="0009687E">
        <w:rPr>
          <w:rFonts w:eastAsia="Times New Roman" w:cs="Times New Roman"/>
          <w:bCs/>
          <w:sz w:val="24"/>
          <w:szCs w:val="24"/>
        </w:rPr>
        <w:t xml:space="preserve"> </w:t>
      </w:r>
      <w:bookmarkEnd w:id="151"/>
    </w:p>
    <w:p w14:paraId="7AEBE1CC"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Despite the importance of talent management in DVNs, organizations may encounter various challenges and considerations in attracting, developing, and retaining top talent within the network. These challenges include:</w:t>
      </w:r>
      <w:r w:rsidRPr="0009687E">
        <w:rPr>
          <w:rFonts w:asciiTheme="majorHAnsi" w:eastAsia="Times New Roman" w:hAnsiTheme="majorHAnsi" w:cs="Times New Roman"/>
          <w:bCs/>
          <w:sz w:val="24"/>
          <w:szCs w:val="24"/>
        </w:rPr>
        <w:t xml:space="preserve"> </w:t>
      </w:r>
    </w:p>
    <w:p w14:paraId="46424DE3" w14:textId="77777777" w:rsidR="000D4A65" w:rsidRPr="0009687E" w:rsidRDefault="000D4A65" w:rsidP="00303A6C">
      <w:pPr>
        <w:numPr>
          <w:ilvl w:val="0"/>
          <w:numId w:val="5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Competition for Talent: DVNs face stiff competition for top talent in the global marketplace, requiring organizations to develop competitive employer branding strategies and recruitment initiatives that attract skilled professionals to the network. This may involve offering competitive compensation packages, career development opportunities, and flexible work arrangements that appeal to top talent.</w:t>
      </w:r>
      <w:r w:rsidRPr="0009687E">
        <w:rPr>
          <w:rFonts w:asciiTheme="majorHAnsi" w:eastAsia="Times New Roman" w:hAnsiTheme="majorHAnsi" w:cs="Times New Roman"/>
          <w:bCs/>
          <w:sz w:val="24"/>
          <w:szCs w:val="24"/>
        </w:rPr>
        <w:t xml:space="preserve"> </w:t>
      </w:r>
    </w:p>
    <w:p w14:paraId="78B2E430" w14:textId="77777777" w:rsidR="000D4A65" w:rsidRPr="0009687E" w:rsidRDefault="000D4A65" w:rsidP="00303A6C">
      <w:pPr>
        <w:numPr>
          <w:ilvl w:val="0"/>
          <w:numId w:val="5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Skills Shortages: Skills shortages and talent gaps may hinder the ability of organizations to fill critical roles and positions within DVNs. Organizations must identify skill gaps, develop talent pipelines, and invest in training and development initiatives that build the skills and capabilities needed to drive value creation within the network.</w:t>
      </w:r>
      <w:r w:rsidRPr="0009687E">
        <w:rPr>
          <w:rFonts w:asciiTheme="majorHAnsi" w:eastAsia="Times New Roman" w:hAnsiTheme="majorHAnsi" w:cs="Times New Roman"/>
          <w:bCs/>
          <w:sz w:val="24"/>
          <w:szCs w:val="24"/>
        </w:rPr>
        <w:t xml:space="preserve"> </w:t>
      </w:r>
    </w:p>
    <w:p w14:paraId="01E906C5" w14:textId="77777777" w:rsidR="000D4A65" w:rsidRPr="0009687E" w:rsidRDefault="000D4A65" w:rsidP="00303A6C">
      <w:pPr>
        <w:numPr>
          <w:ilvl w:val="0"/>
          <w:numId w:val="57"/>
        </w:numPr>
        <w:spacing w:after="0" w:line="265" w:lineRule="auto"/>
        <w:ind w:right="3" w:hanging="360"/>
        <w:rPr>
          <w:rFonts w:asciiTheme="majorHAnsi" w:hAnsiTheme="majorHAnsi"/>
          <w:bCs/>
          <w:sz w:val="24"/>
          <w:szCs w:val="24"/>
        </w:rPr>
      </w:pPr>
      <w:r w:rsidRPr="0009687E">
        <w:rPr>
          <w:rFonts w:asciiTheme="majorHAnsi" w:hAnsiTheme="majorHAnsi"/>
          <w:bCs/>
          <w:sz w:val="24"/>
          <w:szCs w:val="24"/>
        </w:rPr>
        <w:t xml:space="preserve">Retention and Engagement: Retaining top talent and fostering long-term engagement within DVNs is essential for sustaining high performance and driving value creation. </w:t>
      </w:r>
    </w:p>
    <w:p w14:paraId="63B5547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Organizations must implement retention strategies, recognition programs, and work-life balance initiatives that promote employee satisfaction, loyalty, and commitment to the network.</w:t>
      </w:r>
      <w:r w:rsidRPr="0009687E">
        <w:rPr>
          <w:rFonts w:asciiTheme="majorHAnsi" w:eastAsia="Times New Roman" w:hAnsiTheme="majorHAnsi" w:cs="Times New Roman"/>
          <w:bCs/>
          <w:sz w:val="24"/>
          <w:szCs w:val="24"/>
        </w:rPr>
        <w:t xml:space="preserve"> </w:t>
      </w:r>
    </w:p>
    <w:p w14:paraId="3E7602BE" w14:textId="77777777" w:rsidR="000D4A65" w:rsidRPr="0009687E" w:rsidRDefault="000D4A65" w:rsidP="00303A6C">
      <w:pPr>
        <w:numPr>
          <w:ilvl w:val="0"/>
          <w:numId w:val="5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Cultural Fit and Alignment: Cultural fit and alignment are critical considerations in talent management within DVNs, with organizations seeking employees and partners who share their values, goals, and vision for the network. Ensuring cultural fit and alignment requires effective communication, relationship-building, and collaboration among network participants, enabling them to work together towards common objectives and outcomes.</w:t>
      </w:r>
      <w:r w:rsidRPr="0009687E">
        <w:rPr>
          <w:rFonts w:asciiTheme="majorHAnsi" w:eastAsia="Times New Roman" w:hAnsiTheme="majorHAnsi" w:cs="Times New Roman"/>
          <w:bCs/>
          <w:sz w:val="24"/>
          <w:szCs w:val="24"/>
        </w:rPr>
        <w:t xml:space="preserve"> </w:t>
      </w:r>
    </w:p>
    <w:p w14:paraId="505415A1"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In conclusion, talent management and development are critical components of building and sustaining high-performing Dynamic Value Networks (DVNs). By implementing structured strategies, practices, and initiatives that attract, develop, and retain top talent, organizations can drive value creation, innovation, and success within the networked economy.</w:t>
      </w:r>
      <w:r w:rsidRPr="0009687E">
        <w:rPr>
          <w:rFonts w:asciiTheme="majorHAnsi" w:eastAsia="Times New Roman" w:hAnsiTheme="majorHAnsi" w:cs="Times New Roman"/>
          <w:bCs/>
          <w:sz w:val="24"/>
          <w:szCs w:val="24"/>
        </w:rPr>
        <w:t xml:space="preserve"> </w:t>
      </w:r>
    </w:p>
    <w:p w14:paraId="44CE9CD3" w14:textId="77777777" w:rsidR="000D4A65" w:rsidRPr="0009687E" w:rsidRDefault="000D4A65" w:rsidP="000D4A65">
      <w:pPr>
        <w:spacing w:after="360"/>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4563349A" w14:textId="77777777" w:rsidR="000D4A65" w:rsidRPr="0009687E" w:rsidRDefault="000D4A65" w:rsidP="000D4A65">
      <w:pPr>
        <w:pStyle w:val="Heading1"/>
        <w:ind w:left="-5"/>
        <w:rPr>
          <w:bCs/>
          <w:sz w:val="24"/>
          <w:szCs w:val="24"/>
        </w:rPr>
      </w:pPr>
      <w:bookmarkStart w:id="152" w:name="_Toc168210237"/>
      <w:bookmarkStart w:id="153" w:name="_Toc168210393"/>
      <w:bookmarkStart w:id="154" w:name="_Toc44646"/>
      <w:r w:rsidRPr="0009687E">
        <w:rPr>
          <w:bCs/>
          <w:sz w:val="24"/>
          <w:szCs w:val="24"/>
        </w:rPr>
        <w:t>Section 11: Governance and Compliance in Dynamic Value Networks</w:t>
      </w:r>
      <w:bookmarkEnd w:id="152"/>
      <w:bookmarkEnd w:id="153"/>
      <w:r w:rsidRPr="0009687E">
        <w:rPr>
          <w:rFonts w:eastAsia="Times New Roman" w:cs="Times New Roman"/>
          <w:bCs/>
          <w:sz w:val="24"/>
          <w:szCs w:val="24"/>
        </w:rPr>
        <w:t xml:space="preserve"> </w:t>
      </w:r>
      <w:bookmarkEnd w:id="154"/>
    </w:p>
    <w:p w14:paraId="09E5CBA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Governance and compliance play a crucial role in ensuring the integrity, transparency, and sustainability of Dynamic Value Networks (DVNs). This section explores key principles, practices, and challenges related to governance and compliance within DVNs:</w:t>
      </w:r>
      <w:r w:rsidRPr="0009687E">
        <w:rPr>
          <w:rFonts w:asciiTheme="majorHAnsi" w:eastAsia="Times New Roman" w:hAnsiTheme="majorHAnsi" w:cs="Times New Roman"/>
          <w:bCs/>
          <w:sz w:val="24"/>
          <w:szCs w:val="24"/>
        </w:rPr>
        <w:t xml:space="preserve"> </w:t>
      </w:r>
    </w:p>
    <w:p w14:paraId="4FC2284C" w14:textId="77777777" w:rsidR="000D4A65" w:rsidRPr="0009687E" w:rsidRDefault="000D4A65" w:rsidP="000D4A65">
      <w:pPr>
        <w:pStyle w:val="Heading2"/>
        <w:ind w:left="-5"/>
        <w:rPr>
          <w:bCs/>
          <w:sz w:val="24"/>
          <w:szCs w:val="24"/>
        </w:rPr>
      </w:pPr>
      <w:bookmarkStart w:id="155" w:name="_Toc168210238"/>
      <w:bookmarkStart w:id="156" w:name="_Toc168210394"/>
      <w:bookmarkStart w:id="157" w:name="_Toc44647"/>
      <w:r w:rsidRPr="0009687E">
        <w:rPr>
          <w:bCs/>
          <w:sz w:val="24"/>
          <w:szCs w:val="24"/>
        </w:rPr>
        <w:t>11.1 Governance Frameworks</w:t>
      </w:r>
      <w:bookmarkEnd w:id="155"/>
      <w:bookmarkEnd w:id="156"/>
      <w:r w:rsidRPr="0009687E">
        <w:rPr>
          <w:rFonts w:eastAsia="Times New Roman" w:cs="Times New Roman"/>
          <w:bCs/>
          <w:sz w:val="24"/>
          <w:szCs w:val="24"/>
        </w:rPr>
        <w:t xml:space="preserve"> </w:t>
      </w:r>
      <w:bookmarkEnd w:id="157"/>
    </w:p>
    <w:p w14:paraId="6690BDA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 Effective governance frameworks provide the structure, rules, and processes that govern interactions, decision-making, and behavior within DVNs. Organizations establish governance frameworks that define roles and responsibilities, establish decision-making processes, and ensure accountability and transparency within the network. This may involve developing governance charters, policies, and procedures that outline the rights, obligations, and expectations of network participants.</w:t>
      </w:r>
      <w:r w:rsidRPr="0009687E">
        <w:rPr>
          <w:rFonts w:asciiTheme="majorHAnsi" w:eastAsia="Times New Roman" w:hAnsiTheme="majorHAnsi" w:cs="Times New Roman"/>
          <w:bCs/>
          <w:sz w:val="24"/>
          <w:szCs w:val="24"/>
        </w:rPr>
        <w:t xml:space="preserve"> </w:t>
      </w:r>
    </w:p>
    <w:p w14:paraId="59C8ABE6" w14:textId="77777777" w:rsidR="000D4A65" w:rsidRPr="0009687E" w:rsidRDefault="000D4A65" w:rsidP="000D4A65">
      <w:pPr>
        <w:pStyle w:val="Heading2"/>
        <w:ind w:left="-5"/>
        <w:rPr>
          <w:bCs/>
          <w:sz w:val="24"/>
          <w:szCs w:val="24"/>
        </w:rPr>
      </w:pPr>
      <w:bookmarkStart w:id="158" w:name="_Toc168210239"/>
      <w:bookmarkStart w:id="159" w:name="_Toc168210395"/>
      <w:bookmarkStart w:id="160" w:name="_Toc44648"/>
      <w:r w:rsidRPr="0009687E">
        <w:rPr>
          <w:bCs/>
          <w:sz w:val="24"/>
          <w:szCs w:val="24"/>
        </w:rPr>
        <w:t>11.2 Compliance Management</w:t>
      </w:r>
      <w:bookmarkEnd w:id="158"/>
      <w:bookmarkEnd w:id="159"/>
      <w:r w:rsidRPr="0009687E">
        <w:rPr>
          <w:rFonts w:eastAsia="Times New Roman" w:cs="Times New Roman"/>
          <w:bCs/>
          <w:sz w:val="24"/>
          <w:szCs w:val="24"/>
        </w:rPr>
        <w:t xml:space="preserve"> </w:t>
      </w:r>
      <w:bookmarkEnd w:id="160"/>
    </w:p>
    <w:p w14:paraId="0277768B"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Compliance management involves ensuring that DVNs adhere to legal, regulatory, and ethical standards, as well as internal policies and guidelines. Organizations implement compliance management systems that monitor, assess, and mitigate risks related to legal and regulatory compliance within the network. This may include conducting compliance audits, risk assessments, and training programs to educate network participants on compliance requirements and expectations.</w:t>
      </w:r>
      <w:r w:rsidRPr="0009687E">
        <w:rPr>
          <w:rFonts w:asciiTheme="majorHAnsi" w:eastAsia="Times New Roman" w:hAnsiTheme="majorHAnsi" w:cs="Times New Roman"/>
          <w:bCs/>
          <w:sz w:val="24"/>
          <w:szCs w:val="24"/>
        </w:rPr>
        <w:t xml:space="preserve"> </w:t>
      </w:r>
    </w:p>
    <w:p w14:paraId="3C0B59C2" w14:textId="77777777" w:rsidR="000D4A65" w:rsidRPr="0009687E" w:rsidRDefault="000D4A65" w:rsidP="000D4A65">
      <w:pPr>
        <w:pStyle w:val="Heading2"/>
        <w:ind w:left="-5"/>
        <w:rPr>
          <w:bCs/>
          <w:sz w:val="24"/>
          <w:szCs w:val="24"/>
        </w:rPr>
      </w:pPr>
      <w:bookmarkStart w:id="161" w:name="_Toc168210240"/>
      <w:bookmarkStart w:id="162" w:name="_Toc168210396"/>
      <w:bookmarkStart w:id="163" w:name="_Toc44649"/>
      <w:r w:rsidRPr="0009687E">
        <w:rPr>
          <w:bCs/>
          <w:sz w:val="24"/>
          <w:szCs w:val="24"/>
        </w:rPr>
        <w:t>11.3 Risk Management</w:t>
      </w:r>
      <w:bookmarkEnd w:id="161"/>
      <w:bookmarkEnd w:id="162"/>
      <w:r w:rsidRPr="0009687E">
        <w:rPr>
          <w:rFonts w:eastAsia="Times New Roman" w:cs="Times New Roman"/>
          <w:bCs/>
          <w:sz w:val="24"/>
          <w:szCs w:val="24"/>
        </w:rPr>
        <w:t xml:space="preserve"> </w:t>
      </w:r>
      <w:bookmarkEnd w:id="163"/>
    </w:p>
    <w:p w14:paraId="1A7F483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 Risk management is integral to governance within DVNs, with organizations identifying, assessing, and managing risks that may impact network performance and value creation. Organizations implement risk management processes that identify potential threats and vulnerabilities, assess their likelihood and impact, and develop mitigation strategies to address them. This may involve establishing risk registers, contingency plans, and risk management committees that oversee risk management activities within the network.</w:t>
      </w:r>
      <w:r w:rsidRPr="0009687E">
        <w:rPr>
          <w:rFonts w:asciiTheme="majorHAnsi" w:eastAsia="Times New Roman" w:hAnsiTheme="majorHAnsi" w:cs="Times New Roman"/>
          <w:bCs/>
          <w:sz w:val="24"/>
          <w:szCs w:val="24"/>
        </w:rPr>
        <w:t xml:space="preserve"> </w:t>
      </w:r>
    </w:p>
    <w:p w14:paraId="20021D34" w14:textId="77777777" w:rsidR="000D4A65" w:rsidRPr="0009687E" w:rsidRDefault="000D4A65" w:rsidP="000D4A65">
      <w:pPr>
        <w:pStyle w:val="Heading2"/>
        <w:ind w:left="-5"/>
        <w:rPr>
          <w:bCs/>
          <w:sz w:val="24"/>
          <w:szCs w:val="24"/>
        </w:rPr>
      </w:pPr>
      <w:bookmarkStart w:id="164" w:name="_Toc168210241"/>
      <w:bookmarkStart w:id="165" w:name="_Toc168210397"/>
      <w:bookmarkStart w:id="166" w:name="_Toc44650"/>
      <w:r w:rsidRPr="0009687E">
        <w:rPr>
          <w:bCs/>
          <w:sz w:val="24"/>
          <w:szCs w:val="24"/>
        </w:rPr>
        <w:t>11.4 Transparency and Accountability</w:t>
      </w:r>
      <w:bookmarkEnd w:id="164"/>
      <w:bookmarkEnd w:id="165"/>
      <w:r w:rsidRPr="0009687E">
        <w:rPr>
          <w:rFonts w:eastAsia="Times New Roman" w:cs="Times New Roman"/>
          <w:bCs/>
          <w:sz w:val="24"/>
          <w:szCs w:val="24"/>
        </w:rPr>
        <w:t xml:space="preserve"> </w:t>
      </w:r>
      <w:bookmarkEnd w:id="166"/>
    </w:p>
    <w:p w14:paraId="0C2728B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Transparency and accountability are essential principles of governance within DVNs, fostering trust, integrity, and collaboration among network participants. Organizations prioritize transparency by providing clear and accessible information about network operations, decisions, and performance to stakeholders. Accountability mechanisms, such as reporting requirements, performance metrics, and governance structures, hold network participants accountable for their actions and decisions within the network.</w:t>
      </w:r>
      <w:r w:rsidRPr="0009687E">
        <w:rPr>
          <w:rFonts w:asciiTheme="majorHAnsi" w:eastAsia="Times New Roman" w:hAnsiTheme="majorHAnsi" w:cs="Times New Roman"/>
          <w:bCs/>
          <w:sz w:val="24"/>
          <w:szCs w:val="24"/>
        </w:rPr>
        <w:t xml:space="preserve"> </w:t>
      </w:r>
    </w:p>
    <w:p w14:paraId="55519945" w14:textId="77777777" w:rsidR="000D4A65" w:rsidRPr="0009687E" w:rsidRDefault="000D4A65" w:rsidP="000D4A65">
      <w:pPr>
        <w:pStyle w:val="Heading2"/>
        <w:ind w:left="-5"/>
        <w:rPr>
          <w:bCs/>
          <w:sz w:val="24"/>
          <w:szCs w:val="24"/>
        </w:rPr>
      </w:pPr>
      <w:bookmarkStart w:id="167" w:name="_Toc168210242"/>
      <w:bookmarkStart w:id="168" w:name="_Toc168210398"/>
      <w:bookmarkStart w:id="169" w:name="_Toc44651"/>
      <w:r w:rsidRPr="0009687E">
        <w:rPr>
          <w:bCs/>
          <w:sz w:val="24"/>
          <w:szCs w:val="24"/>
        </w:rPr>
        <w:t>11.5 Collaboration and Decision-Making</w:t>
      </w:r>
      <w:bookmarkEnd w:id="167"/>
      <w:bookmarkEnd w:id="168"/>
      <w:r w:rsidRPr="0009687E">
        <w:rPr>
          <w:rFonts w:eastAsia="Times New Roman" w:cs="Times New Roman"/>
          <w:bCs/>
          <w:sz w:val="24"/>
          <w:szCs w:val="24"/>
        </w:rPr>
        <w:t xml:space="preserve"> </w:t>
      </w:r>
      <w:bookmarkEnd w:id="169"/>
    </w:p>
    <w:p w14:paraId="3671CD06"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Governance within DVNs involves collaborative decision-making processes that engage network participants in shaping the direction and priorities of the network. Organizations implement decision-making mechanisms that involve stakeholders in decision-making processes, solicit input and feedback, and ensure that decisions are made in the best interest of the network. This may include establishing decision-making forums, advisory boards, and consensus-building processes that promote inclusivity and engagement within the network.</w:t>
      </w:r>
      <w:r w:rsidRPr="0009687E">
        <w:rPr>
          <w:rFonts w:asciiTheme="majorHAnsi" w:eastAsia="Times New Roman" w:hAnsiTheme="majorHAnsi" w:cs="Times New Roman"/>
          <w:bCs/>
          <w:sz w:val="24"/>
          <w:szCs w:val="24"/>
        </w:rPr>
        <w:t xml:space="preserve"> </w:t>
      </w:r>
    </w:p>
    <w:p w14:paraId="46D33AAB"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11.6 Challenges and Considerations: </w:t>
      </w:r>
      <w:r w:rsidRPr="0009687E">
        <w:rPr>
          <w:rFonts w:asciiTheme="majorHAnsi" w:eastAsia="Times New Roman" w:hAnsiTheme="majorHAnsi" w:cs="Times New Roman"/>
          <w:bCs/>
          <w:sz w:val="24"/>
          <w:szCs w:val="24"/>
        </w:rPr>
        <w:t xml:space="preserve"> </w:t>
      </w:r>
    </w:p>
    <w:p w14:paraId="307E83A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Governance and compliance in DVNs may face various challenges and considerations, including:</w:t>
      </w:r>
      <w:r w:rsidRPr="0009687E">
        <w:rPr>
          <w:rFonts w:asciiTheme="majorHAnsi" w:eastAsia="Times New Roman" w:hAnsiTheme="majorHAnsi" w:cs="Times New Roman"/>
          <w:bCs/>
          <w:sz w:val="24"/>
          <w:szCs w:val="24"/>
        </w:rPr>
        <w:t xml:space="preserve"> </w:t>
      </w:r>
    </w:p>
    <w:p w14:paraId="008D1C66" w14:textId="77777777" w:rsidR="000D4A65" w:rsidRPr="0009687E" w:rsidRDefault="000D4A65" w:rsidP="00303A6C">
      <w:pPr>
        <w:numPr>
          <w:ilvl w:val="0"/>
          <w:numId w:val="58"/>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Complexity and Interdependence: DVNs are complex and interconnected ecosystems with multiple stakeholders and interests, making governance and compliance challenging. Organizations must navigate the complexities of DVNs, balancing competing interests and priorities while ensuring alignment with legal, regulatory, and ethical standards.</w:t>
      </w:r>
      <w:r w:rsidRPr="0009687E">
        <w:rPr>
          <w:rFonts w:asciiTheme="majorHAnsi" w:eastAsia="Times New Roman" w:hAnsiTheme="majorHAnsi" w:cs="Times New Roman"/>
          <w:bCs/>
          <w:sz w:val="24"/>
          <w:szCs w:val="24"/>
        </w:rPr>
        <w:t xml:space="preserve"> </w:t>
      </w:r>
    </w:p>
    <w:p w14:paraId="40872529" w14:textId="77777777" w:rsidR="000D4A65" w:rsidRPr="0009687E" w:rsidRDefault="000D4A65" w:rsidP="00303A6C">
      <w:pPr>
        <w:numPr>
          <w:ilvl w:val="0"/>
          <w:numId w:val="58"/>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Cultural and Legal Differences: DVNs often operate across multiple jurisdictions with diverse cultural and legal frameworks, posing challenges for governance and compliance. Organizations must navigate cultural differences, legal requirements, and regulatory environments to ensure consistency and compliance across the network.</w:t>
      </w:r>
      <w:r w:rsidRPr="0009687E">
        <w:rPr>
          <w:rFonts w:asciiTheme="majorHAnsi" w:eastAsia="Times New Roman" w:hAnsiTheme="majorHAnsi" w:cs="Times New Roman"/>
          <w:bCs/>
          <w:sz w:val="24"/>
          <w:szCs w:val="24"/>
        </w:rPr>
        <w:t xml:space="preserve"> </w:t>
      </w:r>
    </w:p>
    <w:p w14:paraId="1BA960E7" w14:textId="77777777" w:rsidR="000D4A65" w:rsidRPr="0009687E" w:rsidRDefault="000D4A65" w:rsidP="00303A6C">
      <w:pPr>
        <w:numPr>
          <w:ilvl w:val="0"/>
          <w:numId w:val="58"/>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Data Security and Privacy: Data security and privacy are critical considerations in governance and compliance within DVNs, particularly with the increasing use of digital technologies and data-driven processes. Organizations must implement robust data security measures, privacy policies, and compliance controls to protect sensitive information and ensure compliance with data protection regulations.</w:t>
      </w:r>
      <w:r w:rsidRPr="0009687E">
        <w:rPr>
          <w:rFonts w:asciiTheme="majorHAnsi" w:eastAsia="Times New Roman" w:hAnsiTheme="majorHAnsi" w:cs="Times New Roman"/>
          <w:bCs/>
          <w:sz w:val="24"/>
          <w:szCs w:val="24"/>
        </w:rPr>
        <w:t xml:space="preserve"> </w:t>
      </w:r>
    </w:p>
    <w:p w14:paraId="4BF7360A" w14:textId="77777777" w:rsidR="000D4A65" w:rsidRPr="0009687E" w:rsidRDefault="000D4A65" w:rsidP="00303A6C">
      <w:pPr>
        <w:numPr>
          <w:ilvl w:val="0"/>
          <w:numId w:val="58"/>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Stakeholder Engagement and Alignment: Governance and compliance within DVNs require active engagement and alignment among network participants, including employees, partners, customers, and regulators. Organizations must foster collaboration, communication, and trust among stakeholders to ensure alignment with governance principles and compliance requirements.</w:t>
      </w:r>
      <w:r w:rsidRPr="0009687E">
        <w:rPr>
          <w:rFonts w:asciiTheme="majorHAnsi" w:eastAsia="Times New Roman" w:hAnsiTheme="majorHAnsi" w:cs="Times New Roman"/>
          <w:bCs/>
          <w:sz w:val="24"/>
          <w:szCs w:val="24"/>
        </w:rPr>
        <w:t xml:space="preserve"> </w:t>
      </w:r>
    </w:p>
    <w:p w14:paraId="65E0F958" w14:textId="77777777" w:rsidR="000D4A65" w:rsidRPr="0009687E" w:rsidRDefault="000D4A65" w:rsidP="000D4A65">
      <w:pPr>
        <w:spacing w:after="354"/>
        <w:ind w:left="-5" w:right="3"/>
        <w:rPr>
          <w:rFonts w:asciiTheme="majorHAnsi" w:hAnsiTheme="majorHAnsi"/>
          <w:bCs/>
          <w:sz w:val="24"/>
          <w:szCs w:val="24"/>
        </w:rPr>
      </w:pPr>
      <w:r w:rsidRPr="0009687E">
        <w:rPr>
          <w:rFonts w:asciiTheme="majorHAnsi" w:hAnsiTheme="majorHAnsi"/>
          <w:bCs/>
          <w:sz w:val="24"/>
          <w:szCs w:val="24"/>
        </w:rPr>
        <w:t>In conclusion, governance and compliance are essential components of effective management and sustainability within Dynamic Value Networks (DVNs). By implementing robust governance frameworks, compliance management systems, and risk management processes, organizations can ensure transparency, accountability, and integrity within the network, fostering trust and collaboration among network participants.</w:t>
      </w:r>
      <w:r w:rsidRPr="0009687E">
        <w:rPr>
          <w:rFonts w:asciiTheme="majorHAnsi" w:eastAsia="Times New Roman" w:hAnsiTheme="majorHAnsi" w:cs="Times New Roman"/>
          <w:bCs/>
          <w:sz w:val="24"/>
          <w:szCs w:val="24"/>
        </w:rPr>
        <w:t xml:space="preserve"> </w:t>
      </w:r>
    </w:p>
    <w:p w14:paraId="02CA8B66" w14:textId="77777777" w:rsidR="000D4A65" w:rsidRPr="0009687E" w:rsidRDefault="000D4A65" w:rsidP="000D4A65">
      <w:pPr>
        <w:pStyle w:val="Heading1"/>
        <w:spacing w:after="153" w:line="265" w:lineRule="auto"/>
        <w:ind w:left="-5" w:right="3"/>
        <w:rPr>
          <w:bCs/>
          <w:sz w:val="24"/>
          <w:szCs w:val="24"/>
        </w:rPr>
      </w:pPr>
      <w:bookmarkStart w:id="170" w:name="_Toc168210243"/>
      <w:bookmarkStart w:id="171" w:name="_Toc168210399"/>
      <w:bookmarkStart w:id="172" w:name="_Toc44652"/>
      <w:r w:rsidRPr="0009687E">
        <w:rPr>
          <w:bCs/>
          <w:sz w:val="24"/>
          <w:szCs w:val="24"/>
        </w:rPr>
        <w:t>Section 12: Sustainability and Corporate Social Responsibility in Dynamic Value Networks</w:t>
      </w:r>
      <w:bookmarkEnd w:id="170"/>
      <w:bookmarkEnd w:id="171"/>
      <w:r w:rsidRPr="0009687E">
        <w:rPr>
          <w:rFonts w:eastAsia="Times New Roman" w:cs="Times New Roman"/>
          <w:bCs/>
          <w:sz w:val="24"/>
          <w:szCs w:val="24"/>
        </w:rPr>
        <w:t xml:space="preserve"> </w:t>
      </w:r>
      <w:bookmarkEnd w:id="172"/>
    </w:p>
    <w:p w14:paraId="2F52872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Sustainability and corporate social responsibility (CSR) are increasingly important considerations for organizations operating within Dynamic Value Networks (DVNs). This section explores the role of sustainability and CSR in DVNs, including strategies, practices, and challenges:</w:t>
      </w:r>
      <w:r w:rsidRPr="0009687E">
        <w:rPr>
          <w:rFonts w:asciiTheme="majorHAnsi" w:eastAsia="Times New Roman" w:hAnsiTheme="majorHAnsi" w:cs="Times New Roman"/>
          <w:bCs/>
          <w:sz w:val="24"/>
          <w:szCs w:val="24"/>
        </w:rPr>
        <w:t xml:space="preserve"> </w:t>
      </w:r>
    </w:p>
    <w:p w14:paraId="0C176E0A" w14:textId="77777777" w:rsidR="000D4A65" w:rsidRPr="0009687E" w:rsidRDefault="000D4A65" w:rsidP="000D4A65">
      <w:pPr>
        <w:pStyle w:val="Heading2"/>
        <w:ind w:left="-5"/>
        <w:rPr>
          <w:bCs/>
          <w:sz w:val="24"/>
          <w:szCs w:val="24"/>
        </w:rPr>
      </w:pPr>
      <w:bookmarkStart w:id="173" w:name="_Toc168210244"/>
      <w:bookmarkStart w:id="174" w:name="_Toc168210400"/>
      <w:bookmarkStart w:id="175" w:name="_Toc44653"/>
      <w:r w:rsidRPr="0009687E">
        <w:rPr>
          <w:bCs/>
          <w:sz w:val="24"/>
          <w:szCs w:val="24"/>
        </w:rPr>
        <w:t>12.1 Importance of Sustainability and CSR</w:t>
      </w:r>
      <w:bookmarkEnd w:id="173"/>
      <w:bookmarkEnd w:id="174"/>
      <w:r w:rsidRPr="0009687E">
        <w:rPr>
          <w:rFonts w:eastAsia="Times New Roman" w:cs="Times New Roman"/>
          <w:bCs/>
          <w:sz w:val="24"/>
          <w:szCs w:val="24"/>
        </w:rPr>
        <w:t xml:space="preserve"> </w:t>
      </w:r>
      <w:bookmarkEnd w:id="175"/>
    </w:p>
    <w:p w14:paraId="79E526B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Sustainability and CSR are integral to the long-term success and viability of DVNs, as they contribute to environmental stewardship, social equity, and economic prosperity. Organizations recognize the importance of sustainability and CSR in attracting customers, investors, and partners, as well as mitigating risks and enhancing reputation within the network. Key aspects of sustainability and CSR in DVNs include:</w:t>
      </w:r>
      <w:r w:rsidRPr="0009687E">
        <w:rPr>
          <w:rFonts w:asciiTheme="majorHAnsi" w:eastAsia="Times New Roman" w:hAnsiTheme="majorHAnsi" w:cs="Times New Roman"/>
          <w:bCs/>
          <w:sz w:val="24"/>
          <w:szCs w:val="24"/>
        </w:rPr>
        <w:t xml:space="preserve"> </w:t>
      </w:r>
    </w:p>
    <w:p w14:paraId="670AECFB" w14:textId="77777777" w:rsidR="000D4A65" w:rsidRPr="0009687E" w:rsidRDefault="000D4A65" w:rsidP="00303A6C">
      <w:pPr>
        <w:numPr>
          <w:ilvl w:val="0"/>
          <w:numId w:val="59"/>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Environmental Sustainability: Organizations prioritize environmental sustainability within DVNs by minimizing their environmental footprint, conserving resources, and reducing emissions and waste. This may involve adopting sustainable practices such as renewable energy, resource efficiency, and waste reduction initiatives that align with environmental goals and objectives.</w:t>
      </w:r>
      <w:r w:rsidRPr="0009687E">
        <w:rPr>
          <w:rFonts w:asciiTheme="majorHAnsi" w:eastAsia="Times New Roman" w:hAnsiTheme="majorHAnsi" w:cs="Times New Roman"/>
          <w:bCs/>
          <w:sz w:val="24"/>
          <w:szCs w:val="24"/>
        </w:rPr>
        <w:t xml:space="preserve"> </w:t>
      </w:r>
    </w:p>
    <w:p w14:paraId="29324382" w14:textId="77777777" w:rsidR="000D4A65" w:rsidRPr="0009687E" w:rsidRDefault="000D4A65" w:rsidP="00303A6C">
      <w:pPr>
        <w:numPr>
          <w:ilvl w:val="0"/>
          <w:numId w:val="59"/>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Social Responsibility: Organizations demonstrate social responsibility within DVNs by promoting social equity, diversity, and inclusion among network participants. This may include implementing fair labor practices, promoting workforce diversity, and supporting community development initiatives that address social challenges and contribute to positive social impact within the network.</w:t>
      </w:r>
      <w:r w:rsidRPr="0009687E">
        <w:rPr>
          <w:rFonts w:asciiTheme="majorHAnsi" w:eastAsia="Times New Roman" w:hAnsiTheme="majorHAnsi" w:cs="Times New Roman"/>
          <w:bCs/>
          <w:sz w:val="24"/>
          <w:szCs w:val="24"/>
        </w:rPr>
        <w:t xml:space="preserve"> </w:t>
      </w:r>
    </w:p>
    <w:p w14:paraId="0854A267" w14:textId="77777777" w:rsidR="000D4A65" w:rsidRPr="0009687E" w:rsidRDefault="000D4A65" w:rsidP="00303A6C">
      <w:pPr>
        <w:numPr>
          <w:ilvl w:val="0"/>
          <w:numId w:val="59"/>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 xml:space="preserve">Economic Development: Organizations drive economic development within DVNs by fostering entrepreneurship, innovation, and economic growth. This may involve supporting small and medium-sized enterprises (SMEs), fostering </w:t>
      </w:r>
      <w:proofErr w:type="gramStart"/>
      <w:r w:rsidRPr="0009687E">
        <w:rPr>
          <w:rFonts w:asciiTheme="majorHAnsi" w:hAnsiTheme="majorHAnsi"/>
          <w:bCs/>
          <w:sz w:val="24"/>
          <w:szCs w:val="24"/>
        </w:rPr>
        <w:t>innovation</w:t>
      </w:r>
      <w:proofErr w:type="gramEnd"/>
      <w:r w:rsidRPr="0009687E">
        <w:rPr>
          <w:rFonts w:asciiTheme="majorHAnsi" w:hAnsiTheme="majorHAnsi"/>
          <w:bCs/>
          <w:sz w:val="24"/>
          <w:szCs w:val="24"/>
        </w:rPr>
        <w:t xml:space="preserve"> ecosystems, and promoting job creation and economic opportunities that stimulate economic development and prosperity within the network.</w:t>
      </w:r>
      <w:r w:rsidRPr="0009687E">
        <w:rPr>
          <w:rFonts w:asciiTheme="majorHAnsi" w:eastAsia="Times New Roman" w:hAnsiTheme="majorHAnsi" w:cs="Times New Roman"/>
          <w:bCs/>
          <w:sz w:val="24"/>
          <w:szCs w:val="24"/>
        </w:rPr>
        <w:t xml:space="preserve"> </w:t>
      </w:r>
    </w:p>
    <w:p w14:paraId="31E70A88" w14:textId="77777777" w:rsidR="000D4A65" w:rsidRPr="0009687E" w:rsidRDefault="000D4A65" w:rsidP="000D4A65">
      <w:pPr>
        <w:pStyle w:val="Heading2"/>
        <w:ind w:left="-5"/>
        <w:rPr>
          <w:bCs/>
          <w:sz w:val="24"/>
          <w:szCs w:val="24"/>
        </w:rPr>
      </w:pPr>
      <w:bookmarkStart w:id="176" w:name="_Toc168210245"/>
      <w:bookmarkStart w:id="177" w:name="_Toc168210401"/>
      <w:bookmarkStart w:id="178" w:name="_Toc44654"/>
      <w:r w:rsidRPr="0009687E">
        <w:rPr>
          <w:bCs/>
          <w:sz w:val="24"/>
          <w:szCs w:val="24"/>
        </w:rPr>
        <w:t>12.2 Sustainable Practices and Initiatives</w:t>
      </w:r>
      <w:bookmarkEnd w:id="176"/>
      <w:bookmarkEnd w:id="177"/>
      <w:r w:rsidRPr="0009687E">
        <w:rPr>
          <w:rFonts w:eastAsia="Times New Roman" w:cs="Times New Roman"/>
          <w:bCs/>
          <w:sz w:val="24"/>
          <w:szCs w:val="24"/>
        </w:rPr>
        <w:t xml:space="preserve"> </w:t>
      </w:r>
      <w:bookmarkEnd w:id="178"/>
    </w:p>
    <w:p w14:paraId="078BD754"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 Organizations implement sustainable practices and initiatives within DVNs to promote environmental stewardship, social responsibility, and economic development. These practices may include:</w:t>
      </w:r>
      <w:r w:rsidRPr="0009687E">
        <w:rPr>
          <w:rFonts w:asciiTheme="majorHAnsi" w:eastAsia="Times New Roman" w:hAnsiTheme="majorHAnsi" w:cs="Times New Roman"/>
          <w:bCs/>
          <w:sz w:val="24"/>
          <w:szCs w:val="24"/>
        </w:rPr>
        <w:t xml:space="preserve"> </w:t>
      </w:r>
    </w:p>
    <w:p w14:paraId="1AD075C7" w14:textId="77777777" w:rsidR="000D4A65" w:rsidRPr="0009687E" w:rsidRDefault="000D4A65" w:rsidP="00303A6C">
      <w:pPr>
        <w:numPr>
          <w:ilvl w:val="0"/>
          <w:numId w:val="60"/>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Supply Chain Sustainability: Organizations promote supply chain sustainability within DVNs by ensuring responsible sourcing, ethical procurement practices, and supply chain transparency. This may involve engaging suppliers, conducting audits, and implementing sustainability standards and certifications that promote responsible business practices throughout the supply chain.</w:t>
      </w:r>
      <w:r w:rsidRPr="0009687E">
        <w:rPr>
          <w:rFonts w:asciiTheme="majorHAnsi" w:eastAsia="Times New Roman" w:hAnsiTheme="majorHAnsi" w:cs="Times New Roman"/>
          <w:bCs/>
          <w:sz w:val="24"/>
          <w:szCs w:val="24"/>
        </w:rPr>
        <w:t xml:space="preserve"> </w:t>
      </w:r>
    </w:p>
    <w:p w14:paraId="4A4318FA" w14:textId="77777777" w:rsidR="000D4A65" w:rsidRPr="0009687E" w:rsidRDefault="000D4A65" w:rsidP="00303A6C">
      <w:pPr>
        <w:numPr>
          <w:ilvl w:val="0"/>
          <w:numId w:val="60"/>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Stakeholder Engagement: Organizations engage stakeholders in sustainability initiatives within DVNs, including employees, customers, suppliers, and communities. This may involve stakeholder consultations, sustainability reporting, and collaborative initiatives that address stakeholder concerns and priorities related to sustainability and CSR.</w:t>
      </w:r>
      <w:r w:rsidRPr="0009687E">
        <w:rPr>
          <w:rFonts w:asciiTheme="majorHAnsi" w:eastAsia="Times New Roman" w:hAnsiTheme="majorHAnsi" w:cs="Times New Roman"/>
          <w:bCs/>
          <w:sz w:val="24"/>
          <w:szCs w:val="24"/>
        </w:rPr>
        <w:t xml:space="preserve"> </w:t>
      </w:r>
    </w:p>
    <w:p w14:paraId="0B2205D1" w14:textId="77777777" w:rsidR="000D4A65" w:rsidRPr="0009687E" w:rsidRDefault="000D4A65" w:rsidP="00303A6C">
      <w:pPr>
        <w:numPr>
          <w:ilvl w:val="0"/>
          <w:numId w:val="60"/>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Sustainable Innovation: Organizations drive sustainable innovation within DVNs by developing and commercializing innovative products, services, and solutions that address environmental and social challenges. This may involve investing in research and development (R&amp;D), collaborating with partners, and leveraging emerging technologies to develop sustainable innovations that create value within the network.</w:t>
      </w:r>
      <w:r w:rsidRPr="0009687E">
        <w:rPr>
          <w:rFonts w:asciiTheme="majorHAnsi" w:eastAsia="Times New Roman" w:hAnsiTheme="majorHAnsi" w:cs="Times New Roman"/>
          <w:bCs/>
          <w:sz w:val="24"/>
          <w:szCs w:val="24"/>
        </w:rPr>
        <w:t xml:space="preserve"> </w:t>
      </w:r>
    </w:p>
    <w:p w14:paraId="3345D1FB" w14:textId="77777777" w:rsidR="000D4A65" w:rsidRPr="0009687E" w:rsidRDefault="000D4A65" w:rsidP="000D4A65">
      <w:pPr>
        <w:pStyle w:val="Heading2"/>
        <w:ind w:left="-5"/>
        <w:rPr>
          <w:bCs/>
          <w:sz w:val="24"/>
          <w:szCs w:val="24"/>
        </w:rPr>
      </w:pPr>
      <w:bookmarkStart w:id="179" w:name="_Toc168210246"/>
      <w:bookmarkStart w:id="180" w:name="_Toc168210402"/>
      <w:bookmarkStart w:id="181" w:name="_Toc44655"/>
      <w:r w:rsidRPr="0009687E">
        <w:rPr>
          <w:bCs/>
          <w:sz w:val="24"/>
          <w:szCs w:val="24"/>
        </w:rPr>
        <w:t>12.3 Challenges and Considerations:</w:t>
      </w:r>
      <w:bookmarkEnd w:id="179"/>
      <w:bookmarkEnd w:id="180"/>
      <w:r w:rsidRPr="0009687E">
        <w:rPr>
          <w:rFonts w:eastAsia="Times New Roman" w:cs="Times New Roman"/>
          <w:bCs/>
          <w:sz w:val="24"/>
          <w:szCs w:val="24"/>
        </w:rPr>
        <w:t xml:space="preserve"> </w:t>
      </w:r>
      <w:bookmarkEnd w:id="181"/>
    </w:p>
    <w:p w14:paraId="189566B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 Sustainability and CSR in DVNs may face various challenges and considerations, including:</w:t>
      </w:r>
      <w:r w:rsidRPr="0009687E">
        <w:rPr>
          <w:rFonts w:asciiTheme="majorHAnsi" w:eastAsia="Times New Roman" w:hAnsiTheme="majorHAnsi" w:cs="Times New Roman"/>
          <w:bCs/>
          <w:sz w:val="24"/>
          <w:szCs w:val="24"/>
        </w:rPr>
        <w:t xml:space="preserve"> </w:t>
      </w:r>
    </w:p>
    <w:p w14:paraId="36928732" w14:textId="77777777" w:rsidR="000D4A65" w:rsidRPr="0009687E" w:rsidRDefault="000D4A65" w:rsidP="00303A6C">
      <w:pPr>
        <w:numPr>
          <w:ilvl w:val="0"/>
          <w:numId w:val="61"/>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Resource Constraints: Organizations may face resource constraints, such as limited funding, expertise, and capacity, which hinder their ability to implement sustainable practices and initiatives within DVNs. Overcoming resource constraints requires strategic prioritization, collaboration, and leveraging external resources and partnerships to support sustainability efforts.</w:t>
      </w:r>
      <w:r w:rsidRPr="0009687E">
        <w:rPr>
          <w:rFonts w:asciiTheme="majorHAnsi" w:eastAsia="Times New Roman" w:hAnsiTheme="majorHAnsi" w:cs="Times New Roman"/>
          <w:bCs/>
          <w:sz w:val="24"/>
          <w:szCs w:val="24"/>
        </w:rPr>
        <w:t xml:space="preserve"> </w:t>
      </w:r>
    </w:p>
    <w:p w14:paraId="2E5967A6" w14:textId="77777777" w:rsidR="000D4A65" w:rsidRPr="0009687E" w:rsidRDefault="000D4A65" w:rsidP="00303A6C">
      <w:pPr>
        <w:numPr>
          <w:ilvl w:val="0"/>
          <w:numId w:val="61"/>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Regulatory Compliance: Organizations must navigate complex and evolving regulatory requirements related to sustainability and CSR within DVNs, including environmental regulations, labor laws, and corporate governance standards. Ensuring compliance with regulatory requirements requires ongoing monitoring, assessment, and adaptation to changes in the regulatory landscape.</w:t>
      </w:r>
      <w:r w:rsidRPr="0009687E">
        <w:rPr>
          <w:rFonts w:asciiTheme="majorHAnsi" w:eastAsia="Times New Roman" w:hAnsiTheme="majorHAnsi" w:cs="Times New Roman"/>
          <w:bCs/>
          <w:sz w:val="24"/>
          <w:szCs w:val="24"/>
        </w:rPr>
        <w:t xml:space="preserve"> </w:t>
      </w:r>
    </w:p>
    <w:p w14:paraId="36EA2705" w14:textId="77777777" w:rsidR="000D4A65" w:rsidRPr="0009687E" w:rsidRDefault="000D4A65" w:rsidP="00303A6C">
      <w:pPr>
        <w:numPr>
          <w:ilvl w:val="0"/>
          <w:numId w:val="61"/>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Stakeholder Expectations: Organizations must manage stakeholder expectations and perceptions related to sustainability and CSR within DVNs, including employees, customers, investors, and communities. This may involve transparent communication, stakeholder engagement, and alignment of sustainability initiatives with stakeholder priorities and values to build trust and credibility within the network.</w:t>
      </w:r>
      <w:r w:rsidRPr="0009687E">
        <w:rPr>
          <w:rFonts w:asciiTheme="majorHAnsi" w:eastAsia="Times New Roman" w:hAnsiTheme="majorHAnsi" w:cs="Times New Roman"/>
          <w:bCs/>
          <w:sz w:val="24"/>
          <w:szCs w:val="24"/>
        </w:rPr>
        <w:t xml:space="preserve"> </w:t>
      </w:r>
    </w:p>
    <w:p w14:paraId="4FE7AAE1" w14:textId="77777777" w:rsidR="000D4A65" w:rsidRPr="0009687E" w:rsidRDefault="000D4A65" w:rsidP="00303A6C">
      <w:pPr>
        <w:numPr>
          <w:ilvl w:val="0"/>
          <w:numId w:val="61"/>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Measurement and Reporting: Measuring and reporting on sustainability performance within DVNs can be challenging due to the complexity of sustainability metrics, data collection, and reporting processes. Organizations must develop robust measurement frameworks, data management systems, and reporting mechanisms that enable accurate, transparent, and meaningful reporting on sustainability performance within the network.</w:t>
      </w:r>
      <w:r w:rsidRPr="0009687E">
        <w:rPr>
          <w:rFonts w:asciiTheme="majorHAnsi" w:eastAsia="Times New Roman" w:hAnsiTheme="majorHAnsi" w:cs="Times New Roman"/>
          <w:bCs/>
          <w:sz w:val="24"/>
          <w:szCs w:val="24"/>
        </w:rPr>
        <w:t xml:space="preserve"> </w:t>
      </w:r>
    </w:p>
    <w:p w14:paraId="05935F32" w14:textId="77777777" w:rsidR="000D4A65" w:rsidRPr="0009687E" w:rsidRDefault="000D4A65" w:rsidP="000D4A65">
      <w:pPr>
        <w:spacing w:after="354"/>
        <w:ind w:left="-5" w:right="3"/>
        <w:rPr>
          <w:rFonts w:asciiTheme="majorHAnsi" w:hAnsiTheme="majorHAnsi"/>
          <w:bCs/>
          <w:sz w:val="24"/>
          <w:szCs w:val="24"/>
        </w:rPr>
      </w:pPr>
      <w:r w:rsidRPr="0009687E">
        <w:rPr>
          <w:rFonts w:asciiTheme="majorHAnsi" w:hAnsiTheme="majorHAnsi"/>
          <w:bCs/>
          <w:sz w:val="24"/>
          <w:szCs w:val="24"/>
        </w:rPr>
        <w:t>In conclusion, sustainability and CSR are essential considerations for organizations operating within Dynamic Value Networks (DVNs), as they contribute to environmental, social, and economic value creation and promote long-term resilience and success within the networked economy. By adopting sustainable practices, engaging stakeholders, and addressing sustainability challenges, organizations can build sustainable, responsible, and resilient DVNs that create value for all stakeholders.</w:t>
      </w:r>
      <w:r w:rsidRPr="0009687E">
        <w:rPr>
          <w:rFonts w:asciiTheme="majorHAnsi" w:eastAsia="Times New Roman" w:hAnsiTheme="majorHAnsi" w:cs="Times New Roman"/>
          <w:bCs/>
          <w:sz w:val="24"/>
          <w:szCs w:val="24"/>
        </w:rPr>
        <w:t xml:space="preserve"> </w:t>
      </w:r>
    </w:p>
    <w:p w14:paraId="01B7B265" w14:textId="77777777" w:rsidR="000D4A65" w:rsidRPr="0009687E" w:rsidRDefault="000D4A65" w:rsidP="000D4A65">
      <w:pPr>
        <w:pStyle w:val="Heading1"/>
        <w:ind w:left="-5"/>
        <w:rPr>
          <w:bCs/>
          <w:sz w:val="24"/>
          <w:szCs w:val="24"/>
        </w:rPr>
      </w:pPr>
      <w:bookmarkStart w:id="182" w:name="_Toc168210247"/>
      <w:bookmarkStart w:id="183" w:name="_Toc168210403"/>
      <w:bookmarkStart w:id="184" w:name="_Toc44656"/>
      <w:r w:rsidRPr="0009687E">
        <w:rPr>
          <w:bCs/>
          <w:sz w:val="24"/>
          <w:szCs w:val="24"/>
        </w:rPr>
        <w:t>Section 13: Innovation and Technology Adoption in Dynamic Value Networks</w:t>
      </w:r>
      <w:bookmarkEnd w:id="182"/>
      <w:bookmarkEnd w:id="183"/>
      <w:r w:rsidRPr="0009687E">
        <w:rPr>
          <w:rFonts w:eastAsia="Times New Roman" w:cs="Times New Roman"/>
          <w:bCs/>
          <w:sz w:val="24"/>
          <w:szCs w:val="24"/>
        </w:rPr>
        <w:t xml:space="preserve"> </w:t>
      </w:r>
      <w:bookmarkEnd w:id="184"/>
    </w:p>
    <w:p w14:paraId="7F438D20"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Innovation and technology adoption are critical drivers of value creation and competitive advantage within Dynamic Value Networks (DVNs). This section explores the role of innovation and technology adoption in DVNs, including strategies, practices, and challenges:</w:t>
      </w:r>
      <w:r w:rsidRPr="0009687E">
        <w:rPr>
          <w:rFonts w:asciiTheme="majorHAnsi" w:eastAsia="Times New Roman" w:hAnsiTheme="majorHAnsi" w:cs="Times New Roman"/>
          <w:bCs/>
          <w:sz w:val="24"/>
          <w:szCs w:val="24"/>
        </w:rPr>
        <w:t xml:space="preserve"> </w:t>
      </w:r>
    </w:p>
    <w:p w14:paraId="5D8A0CEC" w14:textId="77777777" w:rsidR="000D4A65" w:rsidRPr="0009687E" w:rsidRDefault="000D4A65" w:rsidP="000D4A65">
      <w:pPr>
        <w:pStyle w:val="Heading2"/>
        <w:ind w:left="-5"/>
        <w:rPr>
          <w:bCs/>
          <w:sz w:val="24"/>
          <w:szCs w:val="24"/>
        </w:rPr>
      </w:pPr>
      <w:bookmarkStart w:id="185" w:name="_Toc168210248"/>
      <w:bookmarkStart w:id="186" w:name="_Toc168210404"/>
      <w:bookmarkStart w:id="187" w:name="_Toc44657"/>
      <w:r w:rsidRPr="0009687E">
        <w:rPr>
          <w:bCs/>
          <w:sz w:val="24"/>
          <w:szCs w:val="24"/>
        </w:rPr>
        <w:t>13.1 Importance of Innovation</w:t>
      </w:r>
      <w:bookmarkEnd w:id="185"/>
      <w:bookmarkEnd w:id="186"/>
      <w:r w:rsidRPr="0009687E">
        <w:rPr>
          <w:rFonts w:eastAsia="Times New Roman" w:cs="Times New Roman"/>
          <w:bCs/>
          <w:sz w:val="24"/>
          <w:szCs w:val="24"/>
        </w:rPr>
        <w:t xml:space="preserve"> </w:t>
      </w:r>
      <w:bookmarkEnd w:id="187"/>
    </w:p>
    <w:p w14:paraId="141E93B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 Innovation is essential for driving growth, differentiation, and sustainability within DVNs, as it enables organizations to develop new products, services, and business models that meet evolving customer needs and market demands. Organizations recognize the importance of innovation in DVNs for:</w:t>
      </w:r>
      <w:r w:rsidRPr="0009687E">
        <w:rPr>
          <w:rFonts w:asciiTheme="majorHAnsi" w:eastAsia="Times New Roman" w:hAnsiTheme="majorHAnsi" w:cs="Times New Roman"/>
          <w:bCs/>
          <w:sz w:val="24"/>
          <w:szCs w:val="24"/>
        </w:rPr>
        <w:t xml:space="preserve"> </w:t>
      </w:r>
    </w:p>
    <w:p w14:paraId="7415FFD0" w14:textId="77777777" w:rsidR="000D4A65" w:rsidRPr="0009687E" w:rsidRDefault="000D4A65" w:rsidP="00303A6C">
      <w:pPr>
        <w:numPr>
          <w:ilvl w:val="0"/>
          <w:numId w:val="62"/>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Market Differentiation: Innovation enables organizations to differentiate themselves from competitors within DVNs by offering unique value propositions, experiences, and solutions that address unmet customer needs and preferences.</w:t>
      </w:r>
      <w:r w:rsidRPr="0009687E">
        <w:rPr>
          <w:rFonts w:asciiTheme="majorHAnsi" w:eastAsia="Times New Roman" w:hAnsiTheme="majorHAnsi" w:cs="Times New Roman"/>
          <w:bCs/>
          <w:sz w:val="24"/>
          <w:szCs w:val="24"/>
        </w:rPr>
        <w:t xml:space="preserve"> </w:t>
      </w:r>
    </w:p>
    <w:p w14:paraId="0B03C614" w14:textId="77777777" w:rsidR="000D4A65" w:rsidRPr="0009687E" w:rsidRDefault="000D4A65" w:rsidP="00303A6C">
      <w:pPr>
        <w:numPr>
          <w:ilvl w:val="0"/>
          <w:numId w:val="62"/>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Value Creation: Innovation drives value creation within DVNs by generating new revenue streams, cost efficiencies, and competitive advantages that enhance organizational performance and profitability.</w:t>
      </w:r>
      <w:r w:rsidRPr="0009687E">
        <w:rPr>
          <w:rFonts w:asciiTheme="majorHAnsi" w:eastAsia="Times New Roman" w:hAnsiTheme="majorHAnsi" w:cs="Times New Roman"/>
          <w:bCs/>
          <w:sz w:val="24"/>
          <w:szCs w:val="24"/>
        </w:rPr>
        <w:t xml:space="preserve"> </w:t>
      </w:r>
    </w:p>
    <w:p w14:paraId="2AD295F4" w14:textId="77777777" w:rsidR="000D4A65" w:rsidRPr="0009687E" w:rsidRDefault="000D4A65" w:rsidP="00303A6C">
      <w:pPr>
        <w:numPr>
          <w:ilvl w:val="0"/>
          <w:numId w:val="62"/>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Adaptation and Resilience: Innovation enhances the adaptability and resilience of organizations within DVNs by enabling them to respond effectively to market disruptions, changes in customer preferences, and emerging trends.</w:t>
      </w:r>
      <w:r w:rsidRPr="0009687E">
        <w:rPr>
          <w:rFonts w:asciiTheme="majorHAnsi" w:eastAsia="Times New Roman" w:hAnsiTheme="majorHAnsi" w:cs="Times New Roman"/>
          <w:bCs/>
          <w:sz w:val="24"/>
          <w:szCs w:val="24"/>
        </w:rPr>
        <w:t xml:space="preserve"> </w:t>
      </w:r>
    </w:p>
    <w:p w14:paraId="6BCF7D51" w14:textId="77777777" w:rsidR="000D4A65" w:rsidRPr="0009687E" w:rsidRDefault="000D4A65" w:rsidP="000D4A65">
      <w:pPr>
        <w:pStyle w:val="Heading2"/>
        <w:ind w:left="-5"/>
        <w:rPr>
          <w:bCs/>
          <w:sz w:val="24"/>
          <w:szCs w:val="24"/>
        </w:rPr>
      </w:pPr>
      <w:bookmarkStart w:id="188" w:name="_Toc168210249"/>
      <w:bookmarkStart w:id="189" w:name="_Toc168210405"/>
      <w:bookmarkStart w:id="190" w:name="_Toc44658"/>
      <w:r w:rsidRPr="0009687E">
        <w:rPr>
          <w:bCs/>
          <w:sz w:val="24"/>
          <w:szCs w:val="24"/>
        </w:rPr>
        <w:t>13.2 Innovation Strategies and Practices</w:t>
      </w:r>
      <w:bookmarkEnd w:id="188"/>
      <w:bookmarkEnd w:id="189"/>
      <w:r w:rsidRPr="0009687E">
        <w:rPr>
          <w:rFonts w:eastAsia="Times New Roman" w:cs="Times New Roman"/>
          <w:bCs/>
          <w:sz w:val="24"/>
          <w:szCs w:val="24"/>
        </w:rPr>
        <w:t xml:space="preserve"> </w:t>
      </w:r>
      <w:bookmarkEnd w:id="190"/>
    </w:p>
    <w:p w14:paraId="120777C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Organizations adopt various innovation strategies and practices within DVNs to foster a culture of innovation, experimentation, and collaboration. These strategies may include:</w:t>
      </w:r>
      <w:r w:rsidRPr="0009687E">
        <w:rPr>
          <w:rFonts w:asciiTheme="majorHAnsi" w:eastAsia="Times New Roman" w:hAnsiTheme="majorHAnsi" w:cs="Times New Roman"/>
          <w:bCs/>
          <w:sz w:val="24"/>
          <w:szCs w:val="24"/>
        </w:rPr>
        <w:t xml:space="preserve"> </w:t>
      </w:r>
    </w:p>
    <w:p w14:paraId="438BB230" w14:textId="77777777" w:rsidR="000D4A65" w:rsidRPr="0009687E" w:rsidRDefault="000D4A65" w:rsidP="00303A6C">
      <w:pPr>
        <w:numPr>
          <w:ilvl w:val="0"/>
          <w:numId w:val="63"/>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Open Innovation: Organizations embrace open innovation practices within DVNs, collaborating with external partners, customers, and stakeholders to co-create value and drive innovation. This may involve open innovation platforms, crowdsourcing initiatives, and collaborative R&amp;D projects that tap into the collective intelligence and creativity of diverse stakeholders.</w:t>
      </w:r>
      <w:r w:rsidRPr="0009687E">
        <w:rPr>
          <w:rFonts w:asciiTheme="majorHAnsi" w:eastAsia="Times New Roman" w:hAnsiTheme="majorHAnsi" w:cs="Times New Roman"/>
          <w:bCs/>
          <w:sz w:val="24"/>
          <w:szCs w:val="24"/>
        </w:rPr>
        <w:t xml:space="preserve"> </w:t>
      </w:r>
    </w:p>
    <w:p w14:paraId="613FB68C" w14:textId="77777777" w:rsidR="000D4A65" w:rsidRPr="0009687E" w:rsidRDefault="000D4A65" w:rsidP="00303A6C">
      <w:pPr>
        <w:numPr>
          <w:ilvl w:val="0"/>
          <w:numId w:val="63"/>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 xml:space="preserve">Agile Innovation: Organizations adopt agile innovation methodologies within DVNs, such as design thinking, lean startup, and agile development, to accelerate innovation cycles, reduce time-to-market, and </w:t>
      </w:r>
      <w:proofErr w:type="gramStart"/>
      <w:r w:rsidRPr="0009687E">
        <w:rPr>
          <w:rFonts w:asciiTheme="majorHAnsi" w:hAnsiTheme="majorHAnsi"/>
          <w:bCs/>
          <w:sz w:val="24"/>
          <w:szCs w:val="24"/>
        </w:rPr>
        <w:t>iterate on</w:t>
      </w:r>
      <w:proofErr w:type="gramEnd"/>
      <w:r w:rsidRPr="0009687E">
        <w:rPr>
          <w:rFonts w:asciiTheme="majorHAnsi" w:hAnsiTheme="majorHAnsi"/>
          <w:bCs/>
          <w:sz w:val="24"/>
          <w:szCs w:val="24"/>
        </w:rPr>
        <w:t xml:space="preserve"> ideas rapidly. This may involve cross-functional teams, rapid prototyping, and customer feedback loops that enable organizations to test and refine innovative concepts quickly.</w:t>
      </w:r>
      <w:r w:rsidRPr="0009687E">
        <w:rPr>
          <w:rFonts w:asciiTheme="majorHAnsi" w:eastAsia="Times New Roman" w:hAnsiTheme="majorHAnsi" w:cs="Times New Roman"/>
          <w:bCs/>
          <w:sz w:val="24"/>
          <w:szCs w:val="24"/>
        </w:rPr>
        <w:t xml:space="preserve"> </w:t>
      </w:r>
    </w:p>
    <w:p w14:paraId="644B1444" w14:textId="77777777" w:rsidR="000D4A65" w:rsidRPr="0009687E" w:rsidRDefault="000D4A65" w:rsidP="00303A6C">
      <w:pPr>
        <w:numPr>
          <w:ilvl w:val="0"/>
          <w:numId w:val="63"/>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Disruptive Innovation: Organizations pursue disruptive innovation within DVNs, developing breakthrough technologies, products, and business models that disrupt existing markets and create new opportunities for growth. This may involve investing in emerging technologies, exploring new markets, and challenging conventional wisdom to drive radical change and innovation within the network.</w:t>
      </w:r>
      <w:r w:rsidRPr="0009687E">
        <w:rPr>
          <w:rFonts w:asciiTheme="majorHAnsi" w:eastAsia="Times New Roman" w:hAnsiTheme="majorHAnsi" w:cs="Times New Roman"/>
          <w:bCs/>
          <w:sz w:val="24"/>
          <w:szCs w:val="24"/>
        </w:rPr>
        <w:t xml:space="preserve"> </w:t>
      </w:r>
    </w:p>
    <w:p w14:paraId="2F5554C3" w14:textId="77777777" w:rsidR="000D4A65" w:rsidRPr="0009687E" w:rsidRDefault="000D4A65" w:rsidP="000D4A65">
      <w:pPr>
        <w:pStyle w:val="Heading2"/>
        <w:ind w:left="-5"/>
        <w:rPr>
          <w:bCs/>
          <w:sz w:val="24"/>
          <w:szCs w:val="24"/>
        </w:rPr>
      </w:pPr>
      <w:bookmarkStart w:id="191" w:name="_Toc168210250"/>
      <w:bookmarkStart w:id="192" w:name="_Toc168210406"/>
      <w:bookmarkStart w:id="193" w:name="_Toc44659"/>
      <w:r w:rsidRPr="0009687E">
        <w:rPr>
          <w:bCs/>
          <w:sz w:val="24"/>
          <w:szCs w:val="24"/>
        </w:rPr>
        <w:t>13.3 Technology Adoption and Digital Transformation</w:t>
      </w:r>
      <w:bookmarkEnd w:id="191"/>
      <w:bookmarkEnd w:id="192"/>
      <w:r w:rsidRPr="0009687E">
        <w:rPr>
          <w:rFonts w:eastAsia="Times New Roman" w:cs="Times New Roman"/>
          <w:bCs/>
          <w:sz w:val="24"/>
          <w:szCs w:val="24"/>
        </w:rPr>
        <w:t xml:space="preserve"> </w:t>
      </w:r>
      <w:bookmarkEnd w:id="193"/>
    </w:p>
    <w:p w14:paraId="77A1916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Technology adoption and digital transformation are key enablers of innovation within DVNs, providing the infrastructure, tools, and capabilities that support digital innovation and value creation. Organizations leverage technology adoption and digital transformation for:</w:t>
      </w:r>
      <w:r w:rsidRPr="0009687E">
        <w:rPr>
          <w:rFonts w:asciiTheme="majorHAnsi" w:eastAsia="Times New Roman" w:hAnsiTheme="majorHAnsi" w:cs="Times New Roman"/>
          <w:bCs/>
          <w:sz w:val="24"/>
          <w:szCs w:val="24"/>
        </w:rPr>
        <w:t xml:space="preserve"> </w:t>
      </w:r>
    </w:p>
    <w:p w14:paraId="0C552BF0" w14:textId="77777777" w:rsidR="000D4A65" w:rsidRPr="0009687E" w:rsidRDefault="000D4A65" w:rsidP="00303A6C">
      <w:pPr>
        <w:numPr>
          <w:ilvl w:val="0"/>
          <w:numId w:val="64"/>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Process Optimization: Organizations use technology to optimize processes, streamline operations, and improve efficiency within DVNs. This may involve adopting digital platforms, automation tools, and data analytics solutions that enhance productivity, reduce costs, and drive operational excellence within the network.</w:t>
      </w:r>
      <w:r w:rsidRPr="0009687E">
        <w:rPr>
          <w:rFonts w:asciiTheme="majorHAnsi" w:eastAsia="Times New Roman" w:hAnsiTheme="majorHAnsi" w:cs="Times New Roman"/>
          <w:bCs/>
          <w:sz w:val="24"/>
          <w:szCs w:val="24"/>
        </w:rPr>
        <w:t xml:space="preserve"> </w:t>
      </w:r>
    </w:p>
    <w:p w14:paraId="3A835D25" w14:textId="77777777" w:rsidR="000D4A65" w:rsidRPr="0009687E" w:rsidRDefault="000D4A65" w:rsidP="00303A6C">
      <w:pPr>
        <w:numPr>
          <w:ilvl w:val="0"/>
          <w:numId w:val="64"/>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Customer Experience: Organizations leverage technology to enhance the customer experience within DVNs, delivering personalized, seamless, and immersive experiences across all touchpoints. This may involve digital marketing, customer relationship management (CRM) systems, and omnichannel engagement strategies that enable organizations to engage customers effectively and deliver value-added services.</w:t>
      </w:r>
      <w:r w:rsidRPr="0009687E">
        <w:rPr>
          <w:rFonts w:asciiTheme="majorHAnsi" w:eastAsia="Times New Roman" w:hAnsiTheme="majorHAnsi" w:cs="Times New Roman"/>
          <w:bCs/>
          <w:sz w:val="24"/>
          <w:szCs w:val="24"/>
        </w:rPr>
        <w:t xml:space="preserve"> </w:t>
      </w:r>
    </w:p>
    <w:p w14:paraId="5C992ECE" w14:textId="77777777" w:rsidR="000D4A65" w:rsidRPr="0009687E" w:rsidRDefault="000D4A65" w:rsidP="00303A6C">
      <w:pPr>
        <w:numPr>
          <w:ilvl w:val="0"/>
          <w:numId w:val="64"/>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Data-driven Insights: Organizations harness data-driven insights within DVNs to inform decision-making, identify opportunities, and drive innovation. This may involve leveraging advanced analytics, machine learning, and artificial intelligence (AI) technologies to analyze data, extract actionable insights, and uncover patterns and trends that inform strategic decisions and drive value creation within the network.</w:t>
      </w:r>
      <w:r w:rsidRPr="0009687E">
        <w:rPr>
          <w:rFonts w:asciiTheme="majorHAnsi" w:eastAsia="Times New Roman" w:hAnsiTheme="majorHAnsi" w:cs="Times New Roman"/>
          <w:bCs/>
          <w:sz w:val="24"/>
          <w:szCs w:val="24"/>
        </w:rPr>
        <w:t xml:space="preserve"> </w:t>
      </w:r>
    </w:p>
    <w:p w14:paraId="7BA570EB" w14:textId="77777777" w:rsidR="000D4A65" w:rsidRPr="0009687E" w:rsidRDefault="000D4A65" w:rsidP="000D4A65">
      <w:pPr>
        <w:pStyle w:val="Heading2"/>
        <w:ind w:left="-5"/>
        <w:rPr>
          <w:bCs/>
          <w:sz w:val="24"/>
          <w:szCs w:val="24"/>
        </w:rPr>
      </w:pPr>
      <w:bookmarkStart w:id="194" w:name="_Toc168210251"/>
      <w:bookmarkStart w:id="195" w:name="_Toc168210407"/>
      <w:bookmarkStart w:id="196" w:name="_Toc44660"/>
      <w:r w:rsidRPr="0009687E">
        <w:rPr>
          <w:bCs/>
          <w:sz w:val="24"/>
          <w:szCs w:val="24"/>
        </w:rPr>
        <w:t>13.4 Challenges and Considerations</w:t>
      </w:r>
      <w:bookmarkEnd w:id="194"/>
      <w:bookmarkEnd w:id="195"/>
      <w:r w:rsidRPr="0009687E">
        <w:rPr>
          <w:rFonts w:eastAsia="Times New Roman" w:cs="Times New Roman"/>
          <w:bCs/>
          <w:sz w:val="24"/>
          <w:szCs w:val="24"/>
        </w:rPr>
        <w:t xml:space="preserve"> </w:t>
      </w:r>
      <w:bookmarkEnd w:id="196"/>
    </w:p>
    <w:p w14:paraId="14E9F0A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 Innovation and technology adoption within DVNs may face various challenges and considerations, including:</w:t>
      </w:r>
      <w:r w:rsidRPr="0009687E">
        <w:rPr>
          <w:rFonts w:asciiTheme="majorHAnsi" w:eastAsia="Times New Roman" w:hAnsiTheme="majorHAnsi" w:cs="Times New Roman"/>
          <w:bCs/>
          <w:sz w:val="24"/>
          <w:szCs w:val="24"/>
        </w:rPr>
        <w:t xml:space="preserve"> </w:t>
      </w:r>
    </w:p>
    <w:p w14:paraId="6DC1946C" w14:textId="77777777" w:rsidR="000D4A65" w:rsidRPr="0009687E" w:rsidRDefault="000D4A65" w:rsidP="00303A6C">
      <w:pPr>
        <w:numPr>
          <w:ilvl w:val="0"/>
          <w:numId w:val="65"/>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Organizational Culture: Organizational culture plays a crucial role in fostering innovation and technology adoption within DVNs, with risk aversion, resistance to change, and siloed mindsets inhibiting innovation efforts. Organizations must cultivate a culture of experimentation, collaboration, and learning that encourages creativity, agility, and resilience within the network.</w:t>
      </w:r>
      <w:r w:rsidRPr="0009687E">
        <w:rPr>
          <w:rFonts w:asciiTheme="majorHAnsi" w:eastAsia="Times New Roman" w:hAnsiTheme="majorHAnsi" w:cs="Times New Roman"/>
          <w:bCs/>
          <w:sz w:val="24"/>
          <w:szCs w:val="24"/>
        </w:rPr>
        <w:t xml:space="preserve"> </w:t>
      </w:r>
    </w:p>
    <w:p w14:paraId="3667F310" w14:textId="77777777" w:rsidR="000D4A65" w:rsidRPr="0009687E" w:rsidRDefault="000D4A65" w:rsidP="00303A6C">
      <w:pPr>
        <w:numPr>
          <w:ilvl w:val="0"/>
          <w:numId w:val="65"/>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Talent and Skills: Talent and skills gaps may hinder innovation and technology adoption within DVNs, with organizations facing challenges in recruiting, retaining, and developing talent with the necessary expertise and capabilities. Organizations must invest in talent development initiatives, training programs, and capacity-building efforts that build the skills and competencies needed to drive innovation and technology adoption within the network.</w:t>
      </w:r>
      <w:r w:rsidRPr="0009687E">
        <w:rPr>
          <w:rFonts w:asciiTheme="majorHAnsi" w:eastAsia="Times New Roman" w:hAnsiTheme="majorHAnsi" w:cs="Times New Roman"/>
          <w:bCs/>
          <w:sz w:val="24"/>
          <w:szCs w:val="24"/>
        </w:rPr>
        <w:t xml:space="preserve"> </w:t>
      </w:r>
    </w:p>
    <w:p w14:paraId="4CE48228" w14:textId="77777777" w:rsidR="000D4A65" w:rsidRPr="0009687E" w:rsidRDefault="000D4A65" w:rsidP="00303A6C">
      <w:pPr>
        <w:numPr>
          <w:ilvl w:val="0"/>
          <w:numId w:val="65"/>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Legacy Systems and Infrastructure: Legacy systems and infrastructure may pose barriers to innovation and technology adoption within DVNs, with outdated technologies, complex architectures, and integration challenges inhibiting digital transformation efforts. Organizations must modernize legacy systems, invest in scalable infrastructure, and adopt flexible architectures that support innovation and technology adoption within the network.</w:t>
      </w:r>
      <w:r w:rsidRPr="0009687E">
        <w:rPr>
          <w:rFonts w:asciiTheme="majorHAnsi" w:eastAsia="Times New Roman" w:hAnsiTheme="majorHAnsi" w:cs="Times New Roman"/>
          <w:bCs/>
          <w:sz w:val="24"/>
          <w:szCs w:val="24"/>
        </w:rPr>
        <w:t xml:space="preserve"> </w:t>
      </w:r>
    </w:p>
    <w:p w14:paraId="75620E19" w14:textId="77777777" w:rsidR="000D4A65" w:rsidRPr="0009687E" w:rsidRDefault="000D4A65" w:rsidP="00303A6C">
      <w:pPr>
        <w:numPr>
          <w:ilvl w:val="0"/>
          <w:numId w:val="65"/>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Regulatory and Compliance: Regulatory and compliance requirements may impact innovation and technology adoption within DVNs, with organizations facing legal and regulatory barriers, data privacy concerns, and cybersecurity risks that hinder digital transformation efforts. Organizations must navigate regulatory requirements, address compliance concerns, and implement robust governance and security measures that ensure regulatory compliance and mitigate risks associated with technology adoption within the network.</w:t>
      </w:r>
      <w:r w:rsidRPr="0009687E">
        <w:rPr>
          <w:rFonts w:asciiTheme="majorHAnsi" w:eastAsia="Times New Roman" w:hAnsiTheme="majorHAnsi" w:cs="Times New Roman"/>
          <w:bCs/>
          <w:sz w:val="24"/>
          <w:szCs w:val="24"/>
        </w:rPr>
        <w:t xml:space="preserve"> </w:t>
      </w:r>
    </w:p>
    <w:p w14:paraId="4DC3BF8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In conclusion, innovation and technology adoption are critical drivers of value creation and competitive advantage within Dynamic Value Networks (DVNs), enabling organizations to innovate, adapt, and thrive in the networked economy. By embracing innovation strategies, leveraging technology adoption, and addressing challenges and considerations, organizations can drive sustainable growth, differentiation, and success within the network.</w:t>
      </w:r>
      <w:r w:rsidRPr="0009687E">
        <w:rPr>
          <w:rFonts w:asciiTheme="majorHAnsi" w:eastAsia="Times New Roman" w:hAnsiTheme="majorHAnsi" w:cs="Times New Roman"/>
          <w:bCs/>
          <w:sz w:val="24"/>
          <w:szCs w:val="24"/>
        </w:rPr>
        <w:t xml:space="preserve"> </w:t>
      </w:r>
    </w:p>
    <w:p w14:paraId="699888C5" w14:textId="77777777" w:rsidR="000D4A65" w:rsidRPr="0009687E" w:rsidRDefault="000D4A65" w:rsidP="000D4A65">
      <w:pPr>
        <w:pStyle w:val="Heading1"/>
        <w:ind w:left="-5"/>
        <w:rPr>
          <w:bCs/>
          <w:sz w:val="24"/>
          <w:szCs w:val="24"/>
        </w:rPr>
      </w:pPr>
      <w:bookmarkStart w:id="197" w:name="_Toc168210252"/>
      <w:bookmarkStart w:id="198" w:name="_Toc168210408"/>
      <w:bookmarkStart w:id="199" w:name="_Toc44661"/>
      <w:r w:rsidRPr="0009687E">
        <w:rPr>
          <w:bCs/>
          <w:sz w:val="24"/>
          <w:szCs w:val="24"/>
        </w:rPr>
        <w:t>Discussion</w:t>
      </w:r>
      <w:bookmarkEnd w:id="197"/>
      <w:bookmarkEnd w:id="198"/>
      <w:r w:rsidRPr="0009687E">
        <w:rPr>
          <w:rFonts w:eastAsia="Times New Roman" w:cs="Times New Roman"/>
          <w:bCs/>
          <w:sz w:val="24"/>
          <w:szCs w:val="24"/>
        </w:rPr>
        <w:t xml:space="preserve"> </w:t>
      </w:r>
      <w:bookmarkEnd w:id="199"/>
    </w:p>
    <w:p w14:paraId="1BC3D3C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The discussion section serves as the nexus between empirical findings, theoretical frameworks, and existing literature on Dynamic Value Networks (DVNs). Through a comprehensive analysis, it illuminates the implications of the research for theory, practice, and future exploration, delving into the intricate dynamics and multifaceted nature of DVNs within contemporary business landscapes.</w:t>
      </w:r>
      <w:r w:rsidRPr="0009687E">
        <w:rPr>
          <w:rFonts w:asciiTheme="majorHAnsi" w:eastAsia="Times New Roman" w:hAnsiTheme="majorHAnsi" w:cs="Times New Roman"/>
          <w:bCs/>
          <w:sz w:val="24"/>
          <w:szCs w:val="24"/>
        </w:rPr>
        <w:t xml:space="preserve"> </w:t>
      </w:r>
    </w:p>
    <w:p w14:paraId="429FFD1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Relating Findings to Theory and Literature</w:t>
      </w:r>
      <w:r w:rsidRPr="0009687E">
        <w:rPr>
          <w:rFonts w:asciiTheme="majorHAnsi" w:eastAsia="Times New Roman" w:hAnsiTheme="majorHAnsi" w:cs="Times New Roman"/>
          <w:bCs/>
          <w:sz w:val="24"/>
          <w:szCs w:val="24"/>
        </w:rPr>
        <w:t xml:space="preserve"> </w:t>
      </w:r>
    </w:p>
    <w:p w14:paraId="0EBE257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Expanding on the correlation between empirical findings and established theory and literature, the study underscores the alignment of its results with the foundational principles of DVNs. By delving into collaborative paradigms, value creation mechanisms, and network dynamics, the research reaffirms the fundamental tenets of DVN theory while offering nuanced insights into their operationalization within real-world contexts. The exploration of governance structures, communication modalities, and trust-building initiatives resonates with existing scholarship, further validating the relevance and applicability of DVN theory across diverse organizational settings.</w:t>
      </w:r>
      <w:r w:rsidRPr="0009687E">
        <w:rPr>
          <w:rFonts w:asciiTheme="majorHAnsi" w:eastAsia="Times New Roman" w:hAnsiTheme="majorHAnsi" w:cs="Times New Roman"/>
          <w:bCs/>
          <w:sz w:val="24"/>
          <w:szCs w:val="24"/>
        </w:rPr>
        <w:t xml:space="preserve"> </w:t>
      </w:r>
    </w:p>
    <w:p w14:paraId="2FB1121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Contributions to Theory and Practice</w:t>
      </w:r>
      <w:r w:rsidRPr="0009687E">
        <w:rPr>
          <w:rFonts w:asciiTheme="majorHAnsi" w:eastAsia="Times New Roman" w:hAnsiTheme="majorHAnsi" w:cs="Times New Roman"/>
          <w:bCs/>
          <w:sz w:val="24"/>
          <w:szCs w:val="24"/>
        </w:rPr>
        <w:t xml:space="preserve"> </w:t>
      </w:r>
    </w:p>
    <w:p w14:paraId="370FC27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The study's contributions to both theory and practice are manifold, extending the boundaries of DVN scholarship while furnishing actionable insights for organizational stakeholders. Through its empirical inquiry, the research enriches theoretical discourse by elucidating previously unexplored facets of DVNs, from the intricacies of network governance to the transformative potential of digital technologies. These insights, coupled with practical recommendations derived from the study's findings, offer organizations a blueprint for harnessing the power of DVNs to enhance competitiveness, foster innovation, and drive sustainable value creation. By illuminating the interplay between governance mechanisms, collaborative dynamics, and technological enablers within DVNs, the study equips practitioners with the tools and frameworks necessary to navigate the complexities of networked ecosystems and capitalize on emerging opportunities in the digital age.</w:t>
      </w:r>
      <w:r w:rsidRPr="0009687E">
        <w:rPr>
          <w:rFonts w:asciiTheme="majorHAnsi" w:eastAsia="Times New Roman" w:hAnsiTheme="majorHAnsi" w:cs="Times New Roman"/>
          <w:bCs/>
          <w:sz w:val="24"/>
          <w:szCs w:val="24"/>
        </w:rPr>
        <w:t xml:space="preserve"> </w:t>
      </w:r>
    </w:p>
    <w:p w14:paraId="72A50FD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Implications for Organizations</w:t>
      </w:r>
      <w:r w:rsidRPr="0009687E">
        <w:rPr>
          <w:rFonts w:asciiTheme="majorHAnsi" w:eastAsia="Times New Roman" w:hAnsiTheme="majorHAnsi" w:cs="Times New Roman"/>
          <w:bCs/>
          <w:sz w:val="24"/>
          <w:szCs w:val="24"/>
        </w:rPr>
        <w:t xml:space="preserve"> </w:t>
      </w:r>
    </w:p>
    <w:p w14:paraId="415DDAE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The implications of the research for organizational strategy and management are far-reaching, heralding a paradigm shift in the way businesses conceptualize and leverage collaborative networks. In an era defined by interconnectedness and interdependence, the study underscores the imperative for organizations to embrace a holistic approach to DVN management, one that transcends traditional boundaries and embraces the principles of openness, agility, and innovation. By embracing digital transformation,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and ecosystem strategy, organizations can position themselves at the vanguard of DVN evolution, leveraging collaborative networks as strategic assets to drive growth, mitigate risk, and enhance resilience in an increasingly volatile and uncertain business environment. Moreover, by fostering a culture of collaboration, inclusivity, and trust, organizations can cultivate vibrant ecosystems that foster creativity, drive value, and unlock new avenues for growth and prosperity.</w:t>
      </w:r>
      <w:r w:rsidRPr="0009687E">
        <w:rPr>
          <w:rFonts w:asciiTheme="majorHAnsi" w:eastAsia="Times New Roman" w:hAnsiTheme="majorHAnsi" w:cs="Times New Roman"/>
          <w:bCs/>
          <w:sz w:val="24"/>
          <w:szCs w:val="24"/>
        </w:rPr>
        <w:t xml:space="preserve"> </w:t>
      </w:r>
    </w:p>
    <w:p w14:paraId="48A31566"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Limitations and Future Research</w:t>
      </w:r>
      <w:r w:rsidRPr="0009687E">
        <w:rPr>
          <w:rFonts w:asciiTheme="majorHAnsi" w:eastAsia="Times New Roman" w:hAnsiTheme="majorHAnsi" w:cs="Times New Roman"/>
          <w:bCs/>
          <w:sz w:val="24"/>
          <w:szCs w:val="24"/>
        </w:rPr>
        <w:t xml:space="preserve"> </w:t>
      </w:r>
    </w:p>
    <w:p w14:paraId="3378C937"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While the study provides valuable insights into the dynamics of DVNs, it is not without its limitations. Chief among these is the inherent complexity and heterogeneity of DVNs, which may limit the generalizability of the study's findings across different contexts and industries. Future research endeavors could seek to address this limitation by adopting a multi-method approach that encompasses diverse organizational settings and geographic regions. Additionally, longitudinal studies could provide valuable insights into the evolution and sustainability of DVNs over time, shedding light on the factors that drive resilience, adaptability, and long-term success within collaborative networks. Moreover, exploring the intersection of DVN theory with emerging trends such as blockchain technology, artificial intelligence, and the Internet of Things (IoT) could offer new avenues for inquiry and innovation, </w:t>
      </w:r>
      <w:proofErr w:type="gramStart"/>
      <w:r w:rsidRPr="0009687E">
        <w:rPr>
          <w:rFonts w:asciiTheme="majorHAnsi" w:hAnsiTheme="majorHAnsi"/>
          <w:bCs/>
          <w:sz w:val="24"/>
          <w:szCs w:val="24"/>
        </w:rPr>
        <w:t>opening up</w:t>
      </w:r>
      <w:proofErr w:type="gramEnd"/>
      <w:r w:rsidRPr="0009687E">
        <w:rPr>
          <w:rFonts w:asciiTheme="majorHAnsi" w:hAnsiTheme="majorHAnsi"/>
          <w:bCs/>
          <w:sz w:val="24"/>
          <w:szCs w:val="24"/>
        </w:rPr>
        <w:t xml:space="preserve"> new frontiers in the study of networked ecosystems and their implications for organizational strategy and performance.</w:t>
      </w:r>
      <w:r w:rsidRPr="0009687E">
        <w:rPr>
          <w:rFonts w:asciiTheme="majorHAnsi" w:eastAsia="Times New Roman" w:hAnsiTheme="majorHAnsi" w:cs="Times New Roman"/>
          <w:bCs/>
          <w:sz w:val="24"/>
          <w:szCs w:val="24"/>
        </w:rPr>
        <w:t xml:space="preserve"> </w:t>
      </w:r>
    </w:p>
    <w:p w14:paraId="3BCC10AF" w14:textId="77777777" w:rsidR="000D4A65" w:rsidRPr="0009687E" w:rsidRDefault="000D4A65" w:rsidP="000D4A65">
      <w:pPr>
        <w:pStyle w:val="Heading1"/>
        <w:spacing w:after="153" w:line="265" w:lineRule="auto"/>
        <w:ind w:left="-5" w:right="3"/>
        <w:rPr>
          <w:bCs/>
          <w:sz w:val="24"/>
          <w:szCs w:val="24"/>
        </w:rPr>
      </w:pPr>
      <w:bookmarkStart w:id="200" w:name="_Toc168210253"/>
      <w:bookmarkStart w:id="201" w:name="_Toc168210409"/>
      <w:bookmarkStart w:id="202" w:name="_Toc44662"/>
      <w:r w:rsidRPr="0009687E">
        <w:rPr>
          <w:bCs/>
          <w:color w:val="000000"/>
          <w:sz w:val="24"/>
          <w:szCs w:val="24"/>
        </w:rPr>
        <w:t>Conclusion</w:t>
      </w:r>
      <w:bookmarkEnd w:id="200"/>
      <w:bookmarkEnd w:id="201"/>
      <w:r w:rsidRPr="0009687E">
        <w:rPr>
          <w:rFonts w:eastAsia="Times New Roman" w:cs="Times New Roman"/>
          <w:bCs/>
          <w:color w:val="000000"/>
          <w:sz w:val="24"/>
          <w:szCs w:val="24"/>
        </w:rPr>
        <w:t xml:space="preserve"> </w:t>
      </w:r>
      <w:bookmarkEnd w:id="202"/>
    </w:p>
    <w:p w14:paraId="1EA8CAEA" w14:textId="77777777" w:rsidR="000D4A65" w:rsidRPr="0009687E" w:rsidRDefault="000D4A65" w:rsidP="000D4A65">
      <w:pPr>
        <w:spacing w:after="354"/>
        <w:ind w:left="-5" w:right="3"/>
        <w:rPr>
          <w:rFonts w:asciiTheme="majorHAnsi" w:hAnsiTheme="majorHAnsi"/>
          <w:bCs/>
          <w:sz w:val="24"/>
          <w:szCs w:val="24"/>
        </w:rPr>
      </w:pPr>
      <w:r w:rsidRPr="0009687E">
        <w:rPr>
          <w:rFonts w:asciiTheme="majorHAnsi" w:hAnsiTheme="majorHAnsi"/>
          <w:bCs/>
          <w:sz w:val="24"/>
          <w:szCs w:val="24"/>
        </w:rPr>
        <w:t>In conclusion, the discussion section serves as a springboard for further inquiry and exploration into the dynamic and ever-evolving world of DVNs. By synthesizing empirical findings with theoretical insights and practical implications, the study sheds light on the intricate interplay between governance structures, collaborative dynamics, and technological enablers within DVNs, offering a nuanced understanding of their role in driving organizational performance and competitiveness. As organizations navigate the complexities of the digital age, the study underscores the importance of embracing DVNs as strategic assets, harnessing their transformative potential to create value, foster innovation, and chart a course towards sustainable growth and prosperity in an increasingly interconnected and interdependent world.</w:t>
      </w:r>
      <w:r w:rsidRPr="0009687E">
        <w:rPr>
          <w:rFonts w:asciiTheme="majorHAnsi" w:eastAsia="Times New Roman" w:hAnsiTheme="majorHAnsi" w:cs="Times New Roman"/>
          <w:bCs/>
          <w:sz w:val="24"/>
          <w:szCs w:val="24"/>
        </w:rPr>
        <w:t xml:space="preserve"> </w:t>
      </w:r>
    </w:p>
    <w:p w14:paraId="4C7D3578" w14:textId="77777777" w:rsidR="000D4A65" w:rsidRPr="0009687E" w:rsidRDefault="000D4A65" w:rsidP="000D4A65">
      <w:pPr>
        <w:spacing w:after="77"/>
        <w:ind w:left="-5"/>
        <w:rPr>
          <w:rFonts w:asciiTheme="majorHAnsi" w:hAnsiTheme="majorHAnsi"/>
          <w:bCs/>
          <w:sz w:val="24"/>
          <w:szCs w:val="24"/>
        </w:rPr>
      </w:pPr>
      <w:r w:rsidRPr="0009687E">
        <w:rPr>
          <w:rFonts w:asciiTheme="majorHAnsi" w:hAnsiTheme="majorHAnsi"/>
          <w:bCs/>
          <w:color w:val="0F4761"/>
          <w:sz w:val="24"/>
          <w:szCs w:val="24"/>
        </w:rPr>
        <w:t>Conclusion</w:t>
      </w:r>
      <w:r w:rsidRPr="0009687E">
        <w:rPr>
          <w:rFonts w:asciiTheme="majorHAnsi" w:eastAsia="Times New Roman" w:hAnsiTheme="majorHAnsi" w:cs="Times New Roman"/>
          <w:bCs/>
          <w:color w:val="0F4761"/>
          <w:sz w:val="24"/>
          <w:szCs w:val="24"/>
        </w:rPr>
        <w:t xml:space="preserve"> </w:t>
      </w:r>
    </w:p>
    <w:p w14:paraId="7A791AD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The exploration of Dynamic Value Networks (DVNs) has provided insights into the principles, practices, and challenges of managing and leveraging interconnected ecosystems of stakeholders to create, exchange, and capture value in today's networked economy. Throughout the sections discussed, several key themes have emerged, including:</w:t>
      </w:r>
      <w:r w:rsidRPr="0009687E">
        <w:rPr>
          <w:rFonts w:asciiTheme="majorHAnsi" w:eastAsia="Times New Roman" w:hAnsiTheme="majorHAnsi" w:cs="Times New Roman"/>
          <w:bCs/>
          <w:sz w:val="24"/>
          <w:szCs w:val="24"/>
        </w:rPr>
        <w:t xml:space="preserve"> </w:t>
      </w:r>
    </w:p>
    <w:p w14:paraId="13080A5E" w14:textId="77777777" w:rsidR="000D4A65" w:rsidRPr="0009687E" w:rsidRDefault="000D4A65" w:rsidP="00303A6C">
      <w:pPr>
        <w:numPr>
          <w:ilvl w:val="0"/>
          <w:numId w:val="66"/>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The Evolution of Value Networks: DVNs represent a shift from traditional linear value chains to dynamic ecosystems characterized by their adaptive nature, network effects, and collaborative dynamics.</w:t>
      </w:r>
      <w:r w:rsidRPr="0009687E">
        <w:rPr>
          <w:rFonts w:asciiTheme="majorHAnsi" w:eastAsia="Times New Roman" w:hAnsiTheme="majorHAnsi" w:cs="Times New Roman"/>
          <w:bCs/>
          <w:sz w:val="24"/>
          <w:szCs w:val="24"/>
        </w:rPr>
        <w:t xml:space="preserve"> </w:t>
      </w:r>
    </w:p>
    <w:p w14:paraId="368284A7" w14:textId="77777777" w:rsidR="000D4A65" w:rsidRPr="0009687E" w:rsidRDefault="000D4A65" w:rsidP="00303A6C">
      <w:pPr>
        <w:numPr>
          <w:ilvl w:val="0"/>
          <w:numId w:val="66"/>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Principles of Dynamic Value Networks: DVNs operate based on principles such as network orchestration, co-creation and innovation, and value capture and distribution, emphasizing collaboration, transparency, and mutual value creation among stakeholders.</w:t>
      </w:r>
      <w:r w:rsidRPr="0009687E">
        <w:rPr>
          <w:rFonts w:asciiTheme="majorHAnsi" w:eastAsia="Times New Roman" w:hAnsiTheme="majorHAnsi" w:cs="Times New Roman"/>
          <w:bCs/>
          <w:sz w:val="24"/>
          <w:szCs w:val="24"/>
        </w:rPr>
        <w:t xml:space="preserve"> </w:t>
      </w:r>
    </w:p>
    <w:p w14:paraId="4827BF9A" w14:textId="77777777" w:rsidR="000D4A65" w:rsidRPr="0009687E" w:rsidRDefault="000D4A65" w:rsidP="00303A6C">
      <w:pPr>
        <w:numPr>
          <w:ilvl w:val="0"/>
          <w:numId w:val="66"/>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 xml:space="preserve">Strategies for Leveraging DVNs: Organizations can leverage DVNs by adopting ecosystem-centric strategies, embracing digital transformation and </w:t>
      </w:r>
      <w:proofErr w:type="spellStart"/>
      <w:r w:rsidRPr="0009687E">
        <w:rPr>
          <w:rFonts w:asciiTheme="majorHAnsi" w:hAnsiTheme="majorHAnsi"/>
          <w:bCs/>
          <w:sz w:val="24"/>
          <w:szCs w:val="24"/>
        </w:rPr>
        <w:t>platformization</w:t>
      </w:r>
      <w:proofErr w:type="spellEnd"/>
      <w:r w:rsidRPr="0009687E">
        <w:rPr>
          <w:rFonts w:asciiTheme="majorHAnsi" w:hAnsiTheme="majorHAnsi"/>
          <w:bCs/>
          <w:sz w:val="24"/>
          <w:szCs w:val="24"/>
        </w:rPr>
        <w:t>, and fostering collaboration, agility, and innovation within the network.</w:t>
      </w:r>
      <w:r w:rsidRPr="0009687E">
        <w:rPr>
          <w:rFonts w:asciiTheme="majorHAnsi" w:eastAsia="Times New Roman" w:hAnsiTheme="majorHAnsi" w:cs="Times New Roman"/>
          <w:bCs/>
          <w:sz w:val="24"/>
          <w:szCs w:val="24"/>
        </w:rPr>
        <w:t xml:space="preserve"> </w:t>
      </w:r>
    </w:p>
    <w:p w14:paraId="37EE54FB" w14:textId="77777777" w:rsidR="000D4A65" w:rsidRPr="0009687E" w:rsidRDefault="000D4A65" w:rsidP="00303A6C">
      <w:pPr>
        <w:numPr>
          <w:ilvl w:val="0"/>
          <w:numId w:val="66"/>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Challenges and Considerations: Despite the opportunities presented by DVNs, organizations may encounter challenges such as governance complexities, talent management issues, and regulatory compliance concerns that require careful consideration and strategic planning.</w:t>
      </w:r>
      <w:r w:rsidRPr="0009687E">
        <w:rPr>
          <w:rFonts w:asciiTheme="majorHAnsi" w:eastAsia="Times New Roman" w:hAnsiTheme="majorHAnsi" w:cs="Times New Roman"/>
          <w:bCs/>
          <w:sz w:val="24"/>
          <w:szCs w:val="24"/>
        </w:rPr>
        <w:t xml:space="preserve"> </w:t>
      </w:r>
    </w:p>
    <w:p w14:paraId="4D3EF97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Moving forward, organizations must continue to adapt and evolve in response to the dynamic and interconnected nature of DVNs, leveraging insights, strategies, and best practices discussed to drive innovation, resilience, and sustainable value creation within the networked economy. By embracing collaboration, transparency, and agility, organizations can unlock the full potential of DVNs and thrive in an increasingly interconnected and competitive business environment.</w:t>
      </w:r>
      <w:r w:rsidRPr="0009687E">
        <w:rPr>
          <w:rFonts w:asciiTheme="majorHAnsi" w:eastAsia="Times New Roman" w:hAnsiTheme="majorHAnsi" w:cs="Times New Roman"/>
          <w:bCs/>
          <w:sz w:val="24"/>
          <w:szCs w:val="24"/>
        </w:rPr>
        <w:t xml:space="preserve"> </w:t>
      </w:r>
    </w:p>
    <w:p w14:paraId="03F48992"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In conclusion, Dynamic Value Networks (DVNs) represent a paradigm shift in how value is created, exchanged, and captured in today's networked economy. By understanding the principles, practices, and challenges of DVNs, organizations can position themselves for success and drive sustainable growth, differentiation, and value creation within interconnected ecosystems of stakeholders.</w:t>
      </w:r>
      <w:r w:rsidRPr="0009687E">
        <w:rPr>
          <w:rFonts w:asciiTheme="majorHAnsi" w:eastAsia="Times New Roman" w:hAnsiTheme="majorHAnsi" w:cs="Times New Roman"/>
          <w:bCs/>
          <w:sz w:val="24"/>
          <w:szCs w:val="24"/>
        </w:rPr>
        <w:t xml:space="preserve"> </w:t>
      </w:r>
    </w:p>
    <w:p w14:paraId="574E62E1"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75343E75"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704CFDD8"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54B344AC" w14:textId="77777777" w:rsidR="000D4A65" w:rsidRPr="0009687E" w:rsidRDefault="000D4A65" w:rsidP="000D4A65">
      <w:pPr>
        <w:spacing w:after="156"/>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7C5E6867"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4CD8232A"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1AC9E3E4"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4E386F4E" w14:textId="77777777" w:rsidR="000D4A65" w:rsidRPr="0009687E" w:rsidRDefault="000D4A65" w:rsidP="000D4A65">
      <w:pPr>
        <w:spacing w:after="156"/>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6612D621"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7BADA52C" w14:textId="77777777" w:rsidR="000D4A65" w:rsidRPr="0009687E" w:rsidRDefault="000D4A65" w:rsidP="000D4A65">
      <w:pPr>
        <w:spacing w:after="159"/>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4FA68C7C"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4368427E"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11CBC6A0" w14:textId="77777777" w:rsidR="000D4A65" w:rsidRPr="0009687E" w:rsidRDefault="000D4A65" w:rsidP="000D4A65">
      <w:pPr>
        <w:spacing w:after="156"/>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518F9C59"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0D6DF354"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4E1C8DB2"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3874B7A3" w14:textId="77777777" w:rsidR="000D4A65" w:rsidRPr="0009687E" w:rsidRDefault="000D4A65" w:rsidP="000D4A65">
      <w:pPr>
        <w:spacing w:after="0"/>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70B5B71D"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063EB7A5"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2F17DBD5" w14:textId="77777777" w:rsidR="000D4A65" w:rsidRPr="0009687E" w:rsidRDefault="000D4A65" w:rsidP="000D4A65">
      <w:pPr>
        <w:spacing w:after="156"/>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41593845" w14:textId="77777777" w:rsidR="000D4A65" w:rsidRPr="0009687E" w:rsidRDefault="000D4A65" w:rsidP="000D4A65">
      <w:pPr>
        <w:spacing w:after="360"/>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16D08A42" w14:textId="77777777" w:rsidR="000D4A65" w:rsidRPr="0009687E" w:rsidRDefault="000D4A65" w:rsidP="000D4A65">
      <w:pPr>
        <w:pStyle w:val="Heading1"/>
        <w:ind w:left="-5"/>
        <w:rPr>
          <w:bCs/>
          <w:sz w:val="24"/>
          <w:szCs w:val="24"/>
        </w:rPr>
      </w:pPr>
      <w:bookmarkStart w:id="203" w:name="_Toc168210254"/>
      <w:bookmarkStart w:id="204" w:name="_Toc168210410"/>
      <w:bookmarkStart w:id="205" w:name="_Toc44663"/>
      <w:r w:rsidRPr="0009687E">
        <w:rPr>
          <w:bCs/>
          <w:sz w:val="24"/>
          <w:szCs w:val="24"/>
        </w:rPr>
        <w:t>References:</w:t>
      </w:r>
      <w:bookmarkEnd w:id="203"/>
      <w:bookmarkEnd w:id="204"/>
      <w:r w:rsidRPr="0009687E">
        <w:rPr>
          <w:rFonts w:eastAsia="Times New Roman" w:cs="Times New Roman"/>
          <w:bCs/>
          <w:sz w:val="24"/>
          <w:szCs w:val="24"/>
        </w:rPr>
        <w:t xml:space="preserve"> </w:t>
      </w:r>
      <w:bookmarkEnd w:id="205"/>
    </w:p>
    <w:p w14:paraId="5954BBA0"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Adner, R. (2017). Ecosystem as structure: An actionable construct for strategy. Journal of Management, 43(1), 39-58.</w:t>
      </w:r>
      <w:r w:rsidRPr="0009687E">
        <w:rPr>
          <w:rFonts w:asciiTheme="majorHAnsi" w:eastAsia="Times New Roman" w:hAnsiTheme="majorHAnsi" w:cs="Times New Roman"/>
          <w:bCs/>
          <w:sz w:val="24"/>
          <w:szCs w:val="24"/>
        </w:rPr>
        <w:t xml:space="preserve"> </w:t>
      </w:r>
    </w:p>
    <w:p w14:paraId="22AEC510"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Carroll, A. B., &amp; Buchholtz, A. K. (2014). Business &amp; society: Ethics, sustainability, and stakeholder management. Cengage Learning.</w:t>
      </w:r>
      <w:r w:rsidRPr="0009687E">
        <w:rPr>
          <w:rFonts w:asciiTheme="majorHAnsi" w:eastAsia="Times New Roman" w:hAnsiTheme="majorHAnsi" w:cs="Times New Roman"/>
          <w:bCs/>
          <w:sz w:val="24"/>
          <w:szCs w:val="24"/>
        </w:rPr>
        <w:t xml:space="preserve"> </w:t>
      </w:r>
    </w:p>
    <w:p w14:paraId="25CACBC8"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Chesbrough, H. (2003). Open innovation: The new imperative for creating and profiting from technology. Harvard Business Press.</w:t>
      </w:r>
      <w:r w:rsidRPr="0009687E">
        <w:rPr>
          <w:rFonts w:asciiTheme="majorHAnsi" w:eastAsia="Times New Roman" w:hAnsiTheme="majorHAnsi" w:cs="Times New Roman"/>
          <w:bCs/>
          <w:sz w:val="24"/>
          <w:szCs w:val="24"/>
        </w:rPr>
        <w:t xml:space="preserve"> </w:t>
      </w:r>
    </w:p>
    <w:p w14:paraId="6FF890B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Chesbrough, H. W. (2006). Open business models: How to thrive in the </w:t>
      </w:r>
      <w:proofErr w:type="gramStart"/>
      <w:r w:rsidRPr="0009687E">
        <w:rPr>
          <w:rFonts w:asciiTheme="majorHAnsi" w:hAnsiTheme="majorHAnsi"/>
          <w:bCs/>
          <w:sz w:val="24"/>
          <w:szCs w:val="24"/>
        </w:rPr>
        <w:t>new innovation</w:t>
      </w:r>
      <w:proofErr w:type="gramEnd"/>
      <w:r w:rsidRPr="0009687E">
        <w:rPr>
          <w:rFonts w:asciiTheme="majorHAnsi" w:hAnsiTheme="majorHAnsi"/>
          <w:bCs/>
          <w:sz w:val="24"/>
          <w:szCs w:val="24"/>
        </w:rPr>
        <w:t xml:space="preserve"> landscape. Harvard Business Press.</w:t>
      </w:r>
      <w:r w:rsidRPr="0009687E">
        <w:rPr>
          <w:rFonts w:asciiTheme="majorHAnsi" w:eastAsia="Times New Roman" w:hAnsiTheme="majorHAnsi" w:cs="Times New Roman"/>
          <w:bCs/>
          <w:sz w:val="24"/>
          <w:szCs w:val="24"/>
        </w:rPr>
        <w:t xml:space="preserve"> </w:t>
      </w:r>
    </w:p>
    <w:p w14:paraId="2DD5C81A"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Crane, A., &amp; Matten, D. (2016). Business ethics: Managing corporate citizenship and sustainability in the age of globalization. Oxford University Press.</w:t>
      </w:r>
      <w:r w:rsidRPr="0009687E">
        <w:rPr>
          <w:rFonts w:asciiTheme="majorHAnsi" w:eastAsia="Times New Roman" w:hAnsiTheme="majorHAnsi" w:cs="Times New Roman"/>
          <w:bCs/>
          <w:sz w:val="24"/>
          <w:szCs w:val="24"/>
        </w:rPr>
        <w:t xml:space="preserve"> </w:t>
      </w:r>
    </w:p>
    <w:p w14:paraId="7D6A69A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Dooley, K. J., &amp; Lupton, N. C. (2017). Networks, capabilities, and competitive advantage: A resource-based perspective. Academy of Management Perspectives, 31(2), 145-162.</w:t>
      </w:r>
      <w:r w:rsidRPr="0009687E">
        <w:rPr>
          <w:rFonts w:asciiTheme="majorHAnsi" w:eastAsia="Times New Roman" w:hAnsiTheme="majorHAnsi" w:cs="Times New Roman"/>
          <w:bCs/>
          <w:sz w:val="24"/>
          <w:szCs w:val="24"/>
        </w:rPr>
        <w:t xml:space="preserve"> </w:t>
      </w:r>
    </w:p>
    <w:p w14:paraId="7665290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Freeman, R. E., Harrison, J. S., Wicks, A. C., Parmar, B. L., &amp; De Colle, S. (2010). Stakeholder theory: The state of the art. Cambridge University Press.</w:t>
      </w:r>
      <w:r w:rsidRPr="0009687E">
        <w:rPr>
          <w:rFonts w:asciiTheme="majorHAnsi" w:eastAsia="Times New Roman" w:hAnsiTheme="majorHAnsi" w:cs="Times New Roman"/>
          <w:bCs/>
          <w:sz w:val="24"/>
          <w:szCs w:val="24"/>
        </w:rPr>
        <w:t xml:space="preserve"> </w:t>
      </w:r>
    </w:p>
    <w:p w14:paraId="21E4C6D8"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 xml:space="preserve">Gulati, R., Nohria, N., &amp; </w:t>
      </w:r>
      <w:proofErr w:type="spellStart"/>
      <w:r w:rsidRPr="0009687E">
        <w:rPr>
          <w:rFonts w:asciiTheme="majorHAnsi" w:hAnsiTheme="majorHAnsi"/>
          <w:bCs/>
          <w:sz w:val="24"/>
          <w:szCs w:val="24"/>
        </w:rPr>
        <w:t>Wohlgezogen</w:t>
      </w:r>
      <w:proofErr w:type="spellEnd"/>
      <w:r w:rsidRPr="0009687E">
        <w:rPr>
          <w:rFonts w:asciiTheme="majorHAnsi" w:hAnsiTheme="majorHAnsi"/>
          <w:bCs/>
          <w:sz w:val="24"/>
          <w:szCs w:val="24"/>
        </w:rPr>
        <w:t>, F. (2012). Roaring out of recession. Harvard Business Review, 90(3), 92-100.</w:t>
      </w:r>
      <w:r w:rsidRPr="0009687E">
        <w:rPr>
          <w:rFonts w:asciiTheme="majorHAnsi" w:eastAsia="Times New Roman" w:hAnsiTheme="majorHAnsi" w:cs="Times New Roman"/>
          <w:bCs/>
          <w:sz w:val="24"/>
          <w:szCs w:val="24"/>
        </w:rPr>
        <w:t xml:space="preserve"> </w:t>
      </w:r>
    </w:p>
    <w:p w14:paraId="60AD0E54" w14:textId="77777777" w:rsidR="000D4A65" w:rsidRPr="0009687E" w:rsidRDefault="000D4A65" w:rsidP="000D4A65">
      <w:pPr>
        <w:ind w:left="-5" w:right="3"/>
        <w:rPr>
          <w:rFonts w:asciiTheme="majorHAnsi" w:hAnsiTheme="majorHAnsi"/>
          <w:bCs/>
          <w:sz w:val="24"/>
          <w:szCs w:val="24"/>
        </w:rPr>
      </w:pPr>
      <w:proofErr w:type="spellStart"/>
      <w:r w:rsidRPr="0009687E">
        <w:rPr>
          <w:rFonts w:asciiTheme="majorHAnsi" w:hAnsiTheme="majorHAnsi"/>
          <w:bCs/>
          <w:sz w:val="24"/>
          <w:szCs w:val="24"/>
        </w:rPr>
        <w:t>Iansiti</w:t>
      </w:r>
      <w:proofErr w:type="spellEnd"/>
      <w:r w:rsidRPr="0009687E">
        <w:rPr>
          <w:rFonts w:asciiTheme="majorHAnsi" w:hAnsiTheme="majorHAnsi"/>
          <w:bCs/>
          <w:sz w:val="24"/>
          <w:szCs w:val="24"/>
        </w:rPr>
        <w:t>, M., &amp; Levien, R. (2004). Strategy as ecology. Harvard Business Review, 82(3), 68-78.</w:t>
      </w:r>
      <w:r w:rsidRPr="0009687E">
        <w:rPr>
          <w:rFonts w:asciiTheme="majorHAnsi" w:eastAsia="Times New Roman" w:hAnsiTheme="majorHAnsi" w:cs="Times New Roman"/>
          <w:bCs/>
          <w:sz w:val="24"/>
          <w:szCs w:val="24"/>
        </w:rPr>
        <w:t xml:space="preserve"> </w:t>
      </w:r>
    </w:p>
    <w:p w14:paraId="6A0B9FC1" w14:textId="77777777" w:rsidR="000D4A65" w:rsidRPr="0009687E" w:rsidRDefault="000D4A65" w:rsidP="000D4A65">
      <w:pPr>
        <w:ind w:left="-5" w:right="3"/>
        <w:rPr>
          <w:rFonts w:asciiTheme="majorHAnsi" w:hAnsiTheme="majorHAnsi"/>
          <w:bCs/>
          <w:sz w:val="24"/>
          <w:szCs w:val="24"/>
        </w:rPr>
      </w:pPr>
      <w:proofErr w:type="spellStart"/>
      <w:r w:rsidRPr="0009687E">
        <w:rPr>
          <w:rFonts w:asciiTheme="majorHAnsi" w:hAnsiTheme="majorHAnsi"/>
          <w:bCs/>
          <w:sz w:val="24"/>
          <w:szCs w:val="24"/>
        </w:rPr>
        <w:t>Jacobides</w:t>
      </w:r>
      <w:proofErr w:type="spellEnd"/>
      <w:r w:rsidRPr="0009687E">
        <w:rPr>
          <w:rFonts w:asciiTheme="majorHAnsi" w:hAnsiTheme="majorHAnsi"/>
          <w:bCs/>
          <w:sz w:val="24"/>
          <w:szCs w:val="24"/>
        </w:rPr>
        <w:t xml:space="preserve">, M. G., Cennamo, C., &amp; </w:t>
      </w:r>
      <w:proofErr w:type="spellStart"/>
      <w:r w:rsidRPr="0009687E">
        <w:rPr>
          <w:rFonts w:asciiTheme="majorHAnsi" w:hAnsiTheme="majorHAnsi"/>
          <w:bCs/>
          <w:sz w:val="24"/>
          <w:szCs w:val="24"/>
        </w:rPr>
        <w:t>Gawer</w:t>
      </w:r>
      <w:proofErr w:type="spellEnd"/>
      <w:r w:rsidRPr="0009687E">
        <w:rPr>
          <w:rFonts w:asciiTheme="majorHAnsi" w:hAnsiTheme="majorHAnsi"/>
          <w:bCs/>
          <w:sz w:val="24"/>
          <w:szCs w:val="24"/>
        </w:rPr>
        <w:t>, A. (2018). Towards a theory of ecosystems. Strategic Management Journal, 39(8), 2255-2276.</w:t>
      </w:r>
      <w:r w:rsidRPr="0009687E">
        <w:rPr>
          <w:rFonts w:asciiTheme="majorHAnsi" w:eastAsia="Times New Roman" w:hAnsiTheme="majorHAnsi" w:cs="Times New Roman"/>
          <w:bCs/>
          <w:sz w:val="24"/>
          <w:szCs w:val="24"/>
        </w:rPr>
        <w:t xml:space="preserve"> </w:t>
      </w:r>
    </w:p>
    <w:p w14:paraId="5AFC96E3"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Kaplan, R. S., &amp; Norton, D. P. (1996). The balanced scorecard: Translating strategy into action. Harvard Business Press.</w:t>
      </w:r>
      <w:r w:rsidRPr="0009687E">
        <w:rPr>
          <w:rFonts w:asciiTheme="majorHAnsi" w:eastAsia="Times New Roman" w:hAnsiTheme="majorHAnsi" w:cs="Times New Roman"/>
          <w:bCs/>
          <w:sz w:val="24"/>
          <w:szCs w:val="24"/>
        </w:rPr>
        <w:t xml:space="preserve"> </w:t>
      </w:r>
    </w:p>
    <w:p w14:paraId="27357242"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Lusch, R. F., &amp; Nambisan, S. (2015). Service innovation: A service-dominant logic perspective. MIS Quarterly, 39(1), 155-175.</w:t>
      </w:r>
      <w:r w:rsidRPr="0009687E">
        <w:rPr>
          <w:rFonts w:asciiTheme="majorHAnsi" w:eastAsia="Times New Roman" w:hAnsiTheme="majorHAnsi" w:cs="Times New Roman"/>
          <w:bCs/>
          <w:sz w:val="24"/>
          <w:szCs w:val="24"/>
        </w:rPr>
        <w:t xml:space="preserve"> </w:t>
      </w:r>
    </w:p>
    <w:p w14:paraId="486D281D" w14:textId="77777777" w:rsidR="000D4A65" w:rsidRPr="0009687E" w:rsidRDefault="000D4A65" w:rsidP="000D4A65">
      <w:pPr>
        <w:ind w:left="-5" w:right="3"/>
        <w:rPr>
          <w:rFonts w:asciiTheme="majorHAnsi" w:hAnsiTheme="majorHAnsi"/>
          <w:bCs/>
          <w:sz w:val="24"/>
          <w:szCs w:val="24"/>
        </w:rPr>
      </w:pPr>
      <w:proofErr w:type="spellStart"/>
      <w:r w:rsidRPr="0009687E">
        <w:rPr>
          <w:rFonts w:asciiTheme="majorHAnsi" w:hAnsiTheme="majorHAnsi"/>
          <w:bCs/>
          <w:sz w:val="24"/>
          <w:szCs w:val="24"/>
        </w:rPr>
        <w:t>Papert</w:t>
      </w:r>
      <w:proofErr w:type="spellEnd"/>
      <w:r w:rsidRPr="0009687E">
        <w:rPr>
          <w:rFonts w:asciiTheme="majorHAnsi" w:hAnsiTheme="majorHAnsi"/>
          <w:bCs/>
          <w:sz w:val="24"/>
          <w:szCs w:val="24"/>
        </w:rPr>
        <w:t>, J., &amp; Stroebel, P. (2017). The economic limits of Bitcoin and the blockchain. Journal of Monetary Economics, 58, 1-15.</w:t>
      </w:r>
      <w:r w:rsidRPr="0009687E">
        <w:rPr>
          <w:rFonts w:asciiTheme="majorHAnsi" w:eastAsia="Times New Roman" w:hAnsiTheme="majorHAnsi" w:cs="Times New Roman"/>
          <w:bCs/>
          <w:sz w:val="24"/>
          <w:szCs w:val="24"/>
        </w:rPr>
        <w:t xml:space="preserve"> </w:t>
      </w:r>
    </w:p>
    <w:p w14:paraId="1EA8CE15"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Parker, G. G., Van Alstyne, M. W., &amp; Choudary, S. P. (2016). Platform revolution: How networked markets are transforming the economy--and how to make them work for you. WW Norton &amp; Company.</w:t>
      </w:r>
      <w:r w:rsidRPr="0009687E">
        <w:rPr>
          <w:rFonts w:asciiTheme="majorHAnsi" w:eastAsia="Times New Roman" w:hAnsiTheme="majorHAnsi" w:cs="Times New Roman"/>
          <w:bCs/>
          <w:sz w:val="24"/>
          <w:szCs w:val="24"/>
        </w:rPr>
        <w:t xml:space="preserve"> </w:t>
      </w:r>
    </w:p>
    <w:p w14:paraId="4CF6C489"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Prahalad, C. K., &amp; Ramaswamy, V. (2004). Co-creation experiences: The next practice in value creation. Journal of Interactive Marketing, 18(3), 5-14.</w:t>
      </w:r>
      <w:r w:rsidRPr="0009687E">
        <w:rPr>
          <w:rFonts w:asciiTheme="majorHAnsi" w:eastAsia="Times New Roman" w:hAnsiTheme="majorHAnsi" w:cs="Times New Roman"/>
          <w:bCs/>
          <w:sz w:val="24"/>
          <w:szCs w:val="24"/>
        </w:rPr>
        <w:t xml:space="preserve"> </w:t>
      </w:r>
    </w:p>
    <w:p w14:paraId="31DE8B7F"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Rao, A., &amp; Pattinson, H. (2017). Agile innovation governance: Balancing agile governance and innovation management. Cutter Business Technology Journal, 30(11), 32-38.</w:t>
      </w:r>
      <w:r w:rsidRPr="0009687E">
        <w:rPr>
          <w:rFonts w:asciiTheme="majorHAnsi" w:eastAsia="Times New Roman" w:hAnsiTheme="majorHAnsi" w:cs="Times New Roman"/>
          <w:bCs/>
          <w:sz w:val="24"/>
          <w:szCs w:val="24"/>
        </w:rPr>
        <w:t xml:space="preserve"> </w:t>
      </w:r>
    </w:p>
    <w:p w14:paraId="419A44CE" w14:textId="77777777" w:rsidR="000D4A65" w:rsidRPr="0009687E" w:rsidRDefault="000D4A65" w:rsidP="000D4A65">
      <w:pPr>
        <w:ind w:left="-5" w:right="3"/>
        <w:rPr>
          <w:rFonts w:asciiTheme="majorHAnsi" w:hAnsiTheme="majorHAnsi"/>
          <w:bCs/>
          <w:sz w:val="24"/>
          <w:szCs w:val="24"/>
        </w:rPr>
      </w:pPr>
      <w:proofErr w:type="spellStart"/>
      <w:r w:rsidRPr="0009687E">
        <w:rPr>
          <w:rFonts w:asciiTheme="majorHAnsi" w:hAnsiTheme="majorHAnsi"/>
          <w:bCs/>
          <w:sz w:val="24"/>
          <w:szCs w:val="24"/>
        </w:rPr>
        <w:t>Sheffi</w:t>
      </w:r>
      <w:proofErr w:type="spellEnd"/>
      <w:r w:rsidRPr="0009687E">
        <w:rPr>
          <w:rFonts w:asciiTheme="majorHAnsi" w:hAnsiTheme="majorHAnsi"/>
          <w:bCs/>
          <w:sz w:val="24"/>
          <w:szCs w:val="24"/>
        </w:rPr>
        <w:t>, Y., &amp; Rice, J. B. (2005). A supply chain view of the resilient enterprise. MIT Sloan Management Review, 47(1), 41-48.</w:t>
      </w:r>
      <w:r w:rsidRPr="0009687E">
        <w:rPr>
          <w:rFonts w:asciiTheme="majorHAnsi" w:eastAsia="Times New Roman" w:hAnsiTheme="majorHAnsi" w:cs="Times New Roman"/>
          <w:bCs/>
          <w:sz w:val="24"/>
          <w:szCs w:val="24"/>
        </w:rPr>
        <w:t xml:space="preserve"> </w:t>
      </w:r>
    </w:p>
    <w:p w14:paraId="564E591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Westerman, G., Bonnet, D., &amp; McAfee, A. (2014). Leading digital: Turning technology into business transformation. Harvard Business Press.</w:t>
      </w:r>
      <w:r w:rsidRPr="0009687E">
        <w:rPr>
          <w:rFonts w:asciiTheme="majorHAnsi" w:eastAsia="Times New Roman" w:hAnsiTheme="majorHAnsi" w:cs="Times New Roman"/>
          <w:bCs/>
          <w:sz w:val="24"/>
          <w:szCs w:val="24"/>
        </w:rPr>
        <w:t xml:space="preserve"> </w:t>
      </w:r>
    </w:p>
    <w:p w14:paraId="16BDBC47" w14:textId="77777777" w:rsidR="000D4A65" w:rsidRPr="0009687E" w:rsidRDefault="000D4A65" w:rsidP="000D4A65">
      <w:pPr>
        <w:spacing w:after="158"/>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7059A7E6" w14:textId="7A07CE25" w:rsidR="000D4A65" w:rsidRPr="0009687E" w:rsidRDefault="000D4A65" w:rsidP="00E03C56">
      <w:pPr>
        <w:spacing w:after="158"/>
        <w:rPr>
          <w:rFonts w:asciiTheme="majorHAnsi" w:hAnsiTheme="majorHAnsi"/>
          <w:bCs/>
          <w:sz w:val="24"/>
          <w:szCs w:val="24"/>
        </w:rPr>
      </w:pPr>
    </w:p>
    <w:p w14:paraId="3A8B271A" w14:textId="77777777" w:rsidR="000D4A65" w:rsidRDefault="000D4A65" w:rsidP="000D4A65">
      <w:pPr>
        <w:pStyle w:val="Heading1"/>
        <w:ind w:left="-5"/>
        <w:rPr>
          <w:rFonts w:eastAsia="Times New Roman" w:cs="Times New Roman"/>
          <w:bCs/>
          <w:sz w:val="24"/>
          <w:szCs w:val="24"/>
        </w:rPr>
      </w:pPr>
      <w:bookmarkStart w:id="206" w:name="_Toc168210255"/>
      <w:bookmarkStart w:id="207" w:name="_Toc168210411"/>
      <w:bookmarkStart w:id="208" w:name="_Toc44664"/>
      <w:r w:rsidRPr="0009687E">
        <w:rPr>
          <w:bCs/>
          <w:sz w:val="24"/>
          <w:szCs w:val="24"/>
        </w:rPr>
        <w:t>Training and Implementation Plan for Dynamic Value Networks (DVN) Theory</w:t>
      </w:r>
      <w:bookmarkEnd w:id="206"/>
      <w:bookmarkEnd w:id="207"/>
      <w:r w:rsidRPr="0009687E">
        <w:rPr>
          <w:rFonts w:eastAsia="Times New Roman" w:cs="Times New Roman"/>
          <w:bCs/>
          <w:sz w:val="24"/>
          <w:szCs w:val="24"/>
        </w:rPr>
        <w:t xml:space="preserve"> </w:t>
      </w:r>
      <w:bookmarkEnd w:id="208"/>
    </w:p>
    <w:p w14:paraId="75F471AF" w14:textId="77777777" w:rsidR="00E03C56" w:rsidRPr="00E03C56" w:rsidRDefault="00E03C56" w:rsidP="00E03C56"/>
    <w:p w14:paraId="0767F6BA" w14:textId="77777777" w:rsidR="000D4A65" w:rsidRPr="0009687E" w:rsidRDefault="000D4A65" w:rsidP="000D4A65">
      <w:pPr>
        <w:tabs>
          <w:tab w:val="center" w:pos="1705"/>
        </w:tabs>
        <w:ind w:left="-15"/>
        <w:rPr>
          <w:rFonts w:asciiTheme="majorHAnsi" w:hAnsiTheme="majorHAnsi"/>
          <w:bCs/>
          <w:sz w:val="24"/>
          <w:szCs w:val="24"/>
        </w:rPr>
      </w:pPr>
      <w:r w:rsidRPr="0009687E">
        <w:rPr>
          <w:rFonts w:asciiTheme="majorHAnsi" w:hAnsiTheme="majorHAnsi"/>
          <w:bCs/>
          <w:sz w:val="24"/>
          <w:szCs w:val="24"/>
        </w:rPr>
        <w:t>1.</w:t>
      </w:r>
      <w:r w:rsidRPr="0009687E">
        <w:rPr>
          <w:rFonts w:asciiTheme="majorHAnsi" w:eastAsia="Times New Roman" w:hAnsiTheme="majorHAnsi" w:cs="Times New Roman"/>
          <w:bCs/>
          <w:sz w:val="24"/>
          <w:szCs w:val="24"/>
        </w:rPr>
        <w:t xml:space="preserve"> </w:t>
      </w:r>
      <w:r w:rsidRPr="0009687E">
        <w:rPr>
          <w:rFonts w:asciiTheme="majorHAnsi" w:eastAsia="Times New Roman" w:hAnsiTheme="majorHAnsi" w:cs="Times New Roman"/>
          <w:bCs/>
          <w:sz w:val="24"/>
          <w:szCs w:val="24"/>
        </w:rPr>
        <w:tab/>
      </w:r>
      <w:r w:rsidRPr="0009687E">
        <w:rPr>
          <w:rFonts w:asciiTheme="majorHAnsi" w:hAnsiTheme="majorHAnsi"/>
          <w:bCs/>
          <w:sz w:val="24"/>
          <w:szCs w:val="24"/>
        </w:rPr>
        <w:t>Training Objectives:</w:t>
      </w:r>
      <w:r w:rsidRPr="0009687E">
        <w:rPr>
          <w:rFonts w:asciiTheme="majorHAnsi" w:eastAsia="Times New Roman" w:hAnsiTheme="majorHAnsi" w:cs="Times New Roman"/>
          <w:bCs/>
          <w:sz w:val="24"/>
          <w:szCs w:val="24"/>
        </w:rPr>
        <w:t xml:space="preserve"> </w:t>
      </w:r>
    </w:p>
    <w:p w14:paraId="3A70EEB9" w14:textId="77777777" w:rsidR="000D4A65" w:rsidRPr="0009687E" w:rsidRDefault="000D4A65" w:rsidP="00303A6C">
      <w:pPr>
        <w:numPr>
          <w:ilvl w:val="0"/>
          <w:numId w:val="6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Develop a comprehensive understanding of Dynamic Value Networks (DVNs) theory, including its principles, practices, and implications for business management.</w:t>
      </w:r>
      <w:r w:rsidRPr="0009687E">
        <w:rPr>
          <w:rFonts w:asciiTheme="majorHAnsi" w:eastAsia="Times New Roman" w:hAnsiTheme="majorHAnsi" w:cs="Times New Roman"/>
          <w:bCs/>
          <w:sz w:val="24"/>
          <w:szCs w:val="24"/>
        </w:rPr>
        <w:t xml:space="preserve"> </w:t>
      </w:r>
    </w:p>
    <w:p w14:paraId="19830F0B" w14:textId="77777777" w:rsidR="000D4A65" w:rsidRPr="0009687E" w:rsidRDefault="000D4A65" w:rsidP="00303A6C">
      <w:pPr>
        <w:numPr>
          <w:ilvl w:val="0"/>
          <w:numId w:val="6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Equip participants with the knowledge and skills needed to effectively leverage DVNs for innovation, value creation, and competitive advantage.</w:t>
      </w:r>
      <w:r w:rsidRPr="0009687E">
        <w:rPr>
          <w:rFonts w:asciiTheme="majorHAnsi" w:eastAsia="Times New Roman" w:hAnsiTheme="majorHAnsi" w:cs="Times New Roman"/>
          <w:bCs/>
          <w:sz w:val="24"/>
          <w:szCs w:val="24"/>
        </w:rPr>
        <w:t xml:space="preserve"> </w:t>
      </w:r>
    </w:p>
    <w:p w14:paraId="53E4D8AF" w14:textId="77777777" w:rsidR="000D4A65" w:rsidRPr="0009687E" w:rsidRDefault="000D4A65" w:rsidP="00303A6C">
      <w:pPr>
        <w:numPr>
          <w:ilvl w:val="0"/>
          <w:numId w:val="6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Foster a culture of collaboration, transparency, and agility within organizations to support the implementation of DVN principles.</w:t>
      </w:r>
      <w:r w:rsidRPr="0009687E">
        <w:rPr>
          <w:rFonts w:asciiTheme="majorHAnsi" w:eastAsia="Times New Roman" w:hAnsiTheme="majorHAnsi" w:cs="Times New Roman"/>
          <w:bCs/>
          <w:sz w:val="24"/>
          <w:szCs w:val="24"/>
        </w:rPr>
        <w:t xml:space="preserve"> </w:t>
      </w:r>
    </w:p>
    <w:p w14:paraId="0D599A8D" w14:textId="77777777" w:rsidR="000D4A65" w:rsidRPr="0009687E" w:rsidRDefault="000D4A65" w:rsidP="000D4A65">
      <w:pPr>
        <w:tabs>
          <w:tab w:val="center" w:pos="1538"/>
        </w:tabs>
        <w:ind w:left="-15"/>
        <w:rPr>
          <w:rFonts w:asciiTheme="majorHAnsi" w:hAnsiTheme="majorHAnsi"/>
          <w:bCs/>
          <w:sz w:val="24"/>
          <w:szCs w:val="24"/>
        </w:rPr>
      </w:pPr>
      <w:r w:rsidRPr="0009687E">
        <w:rPr>
          <w:rFonts w:asciiTheme="majorHAnsi" w:hAnsiTheme="majorHAnsi"/>
          <w:bCs/>
          <w:sz w:val="24"/>
          <w:szCs w:val="24"/>
        </w:rPr>
        <w:t>2.</w:t>
      </w:r>
      <w:r w:rsidRPr="0009687E">
        <w:rPr>
          <w:rFonts w:asciiTheme="majorHAnsi" w:eastAsia="Times New Roman" w:hAnsiTheme="majorHAnsi" w:cs="Times New Roman"/>
          <w:bCs/>
          <w:sz w:val="24"/>
          <w:szCs w:val="24"/>
        </w:rPr>
        <w:t xml:space="preserve"> </w:t>
      </w:r>
      <w:r w:rsidRPr="0009687E">
        <w:rPr>
          <w:rFonts w:asciiTheme="majorHAnsi" w:eastAsia="Times New Roman" w:hAnsiTheme="majorHAnsi" w:cs="Times New Roman"/>
          <w:bCs/>
          <w:sz w:val="24"/>
          <w:szCs w:val="24"/>
        </w:rPr>
        <w:tab/>
      </w:r>
      <w:r w:rsidRPr="0009687E">
        <w:rPr>
          <w:rFonts w:asciiTheme="majorHAnsi" w:hAnsiTheme="majorHAnsi"/>
          <w:bCs/>
          <w:sz w:val="24"/>
          <w:szCs w:val="24"/>
        </w:rPr>
        <w:t>Target Audience:</w:t>
      </w:r>
      <w:r w:rsidRPr="0009687E">
        <w:rPr>
          <w:rFonts w:asciiTheme="majorHAnsi" w:eastAsia="Times New Roman" w:hAnsiTheme="majorHAnsi" w:cs="Times New Roman"/>
          <w:bCs/>
          <w:sz w:val="24"/>
          <w:szCs w:val="24"/>
        </w:rPr>
        <w:t xml:space="preserve"> </w:t>
      </w:r>
    </w:p>
    <w:p w14:paraId="418AD90E" w14:textId="77777777" w:rsidR="000D4A65" w:rsidRPr="0009687E" w:rsidRDefault="000D4A65" w:rsidP="00303A6C">
      <w:pPr>
        <w:numPr>
          <w:ilvl w:val="0"/>
          <w:numId w:val="68"/>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Business leaders, executives, and managers responsible for strategic decision-making and network governance.</w:t>
      </w:r>
      <w:r w:rsidRPr="0009687E">
        <w:rPr>
          <w:rFonts w:asciiTheme="majorHAnsi" w:eastAsia="Times New Roman" w:hAnsiTheme="majorHAnsi" w:cs="Times New Roman"/>
          <w:bCs/>
          <w:sz w:val="24"/>
          <w:szCs w:val="24"/>
        </w:rPr>
        <w:t xml:space="preserve"> </w:t>
      </w:r>
    </w:p>
    <w:p w14:paraId="06B5D305" w14:textId="77777777" w:rsidR="000D4A65" w:rsidRPr="0009687E" w:rsidRDefault="000D4A65" w:rsidP="00303A6C">
      <w:pPr>
        <w:numPr>
          <w:ilvl w:val="0"/>
          <w:numId w:val="68"/>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Cross-functional teams involved in supply chain management, ecosystem partnerships, and innovation initiatives.</w:t>
      </w:r>
      <w:r w:rsidRPr="0009687E">
        <w:rPr>
          <w:rFonts w:asciiTheme="majorHAnsi" w:eastAsia="Times New Roman" w:hAnsiTheme="majorHAnsi" w:cs="Times New Roman"/>
          <w:bCs/>
          <w:sz w:val="24"/>
          <w:szCs w:val="24"/>
        </w:rPr>
        <w:t xml:space="preserve"> </w:t>
      </w:r>
    </w:p>
    <w:p w14:paraId="086D0DA2" w14:textId="77777777" w:rsidR="000D4A65" w:rsidRPr="0009687E" w:rsidRDefault="000D4A65" w:rsidP="00303A6C">
      <w:pPr>
        <w:numPr>
          <w:ilvl w:val="0"/>
          <w:numId w:val="68"/>
        </w:numPr>
        <w:spacing w:after="84" w:line="329" w:lineRule="auto"/>
        <w:ind w:right="3" w:hanging="360"/>
        <w:rPr>
          <w:rFonts w:asciiTheme="majorHAnsi" w:hAnsiTheme="majorHAnsi"/>
          <w:bCs/>
          <w:sz w:val="24"/>
          <w:szCs w:val="24"/>
        </w:rPr>
      </w:pPr>
      <w:r w:rsidRPr="0009687E">
        <w:rPr>
          <w:rFonts w:asciiTheme="majorHAnsi" w:hAnsiTheme="majorHAnsi"/>
          <w:bCs/>
          <w:sz w:val="24"/>
          <w:szCs w:val="24"/>
        </w:rPr>
        <w:t>Professionals in industries such as technology, healthcare, finance, and manufacturing, where DVNs are prevalent.</w:t>
      </w:r>
      <w:r w:rsidRPr="0009687E">
        <w:rPr>
          <w:rFonts w:asciiTheme="majorHAnsi" w:eastAsia="Times New Roman" w:hAnsiTheme="majorHAnsi" w:cs="Times New Roman"/>
          <w:bCs/>
          <w:sz w:val="24"/>
          <w:szCs w:val="24"/>
        </w:rPr>
        <w:t xml:space="preserve"> </w:t>
      </w:r>
      <w:r w:rsidRPr="0009687E">
        <w:rPr>
          <w:rFonts w:asciiTheme="majorHAnsi" w:hAnsiTheme="majorHAnsi"/>
          <w:bCs/>
          <w:sz w:val="24"/>
          <w:szCs w:val="24"/>
        </w:rPr>
        <w:t>3.</w:t>
      </w:r>
      <w:r w:rsidRPr="0009687E">
        <w:rPr>
          <w:rFonts w:asciiTheme="majorHAnsi" w:eastAsia="Times New Roman" w:hAnsiTheme="majorHAnsi" w:cs="Times New Roman"/>
          <w:bCs/>
          <w:sz w:val="24"/>
          <w:szCs w:val="24"/>
        </w:rPr>
        <w:t xml:space="preserve"> </w:t>
      </w:r>
      <w:r w:rsidRPr="0009687E">
        <w:rPr>
          <w:rFonts w:asciiTheme="majorHAnsi" w:eastAsia="Times New Roman" w:hAnsiTheme="majorHAnsi" w:cs="Times New Roman"/>
          <w:bCs/>
          <w:sz w:val="24"/>
          <w:szCs w:val="24"/>
        </w:rPr>
        <w:tab/>
      </w:r>
      <w:r w:rsidRPr="0009687E">
        <w:rPr>
          <w:rFonts w:asciiTheme="majorHAnsi" w:hAnsiTheme="majorHAnsi"/>
          <w:bCs/>
          <w:sz w:val="24"/>
          <w:szCs w:val="24"/>
        </w:rPr>
        <w:t>Training Components:</w:t>
      </w:r>
      <w:r w:rsidRPr="0009687E">
        <w:rPr>
          <w:rFonts w:asciiTheme="majorHAnsi" w:eastAsia="Times New Roman" w:hAnsiTheme="majorHAnsi" w:cs="Times New Roman"/>
          <w:bCs/>
          <w:sz w:val="24"/>
          <w:szCs w:val="24"/>
        </w:rPr>
        <w:t xml:space="preserve"> </w:t>
      </w:r>
    </w:p>
    <w:p w14:paraId="5AB0B6C6"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a. Theoretical Foundations of DVNs:</w:t>
      </w:r>
      <w:r w:rsidRPr="0009687E">
        <w:rPr>
          <w:rFonts w:asciiTheme="majorHAnsi" w:eastAsia="Times New Roman" w:hAnsiTheme="majorHAnsi" w:cs="Times New Roman"/>
          <w:bCs/>
          <w:sz w:val="24"/>
          <w:szCs w:val="24"/>
        </w:rPr>
        <w:t xml:space="preserve"> </w:t>
      </w:r>
    </w:p>
    <w:p w14:paraId="4860A93D" w14:textId="77777777" w:rsidR="000D4A65" w:rsidRPr="0009687E" w:rsidRDefault="000D4A65" w:rsidP="00303A6C">
      <w:pPr>
        <w:numPr>
          <w:ilvl w:val="0"/>
          <w:numId w:val="69"/>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Overview of DVN theory, evolution of value networks, and key concepts such as network effects, co-creation, and value capture.</w:t>
      </w:r>
      <w:r w:rsidRPr="0009687E">
        <w:rPr>
          <w:rFonts w:asciiTheme="majorHAnsi" w:eastAsia="Times New Roman" w:hAnsiTheme="majorHAnsi" w:cs="Times New Roman"/>
          <w:bCs/>
          <w:sz w:val="24"/>
          <w:szCs w:val="24"/>
        </w:rPr>
        <w:t xml:space="preserve"> </w:t>
      </w:r>
    </w:p>
    <w:p w14:paraId="3F4964CC" w14:textId="77777777" w:rsidR="000D4A65" w:rsidRPr="0009687E" w:rsidRDefault="000D4A65" w:rsidP="00303A6C">
      <w:pPr>
        <w:numPr>
          <w:ilvl w:val="0"/>
          <w:numId w:val="69"/>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Case studies and examples demonstrating successful implementations of DVN principles in diverse industries.</w:t>
      </w:r>
      <w:r w:rsidRPr="0009687E">
        <w:rPr>
          <w:rFonts w:asciiTheme="majorHAnsi" w:eastAsia="Times New Roman" w:hAnsiTheme="majorHAnsi" w:cs="Times New Roman"/>
          <w:bCs/>
          <w:sz w:val="24"/>
          <w:szCs w:val="24"/>
        </w:rPr>
        <w:t xml:space="preserve"> </w:t>
      </w:r>
    </w:p>
    <w:p w14:paraId="7DACC591"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b. Practical Applications and Case Studies:</w:t>
      </w:r>
      <w:r w:rsidRPr="0009687E">
        <w:rPr>
          <w:rFonts w:asciiTheme="majorHAnsi" w:eastAsia="Times New Roman" w:hAnsiTheme="majorHAnsi" w:cs="Times New Roman"/>
          <w:bCs/>
          <w:sz w:val="24"/>
          <w:szCs w:val="24"/>
        </w:rPr>
        <w:t xml:space="preserve"> </w:t>
      </w:r>
    </w:p>
    <w:p w14:paraId="6824353F" w14:textId="77777777" w:rsidR="000D4A65" w:rsidRPr="0009687E" w:rsidRDefault="000D4A65" w:rsidP="00303A6C">
      <w:pPr>
        <w:numPr>
          <w:ilvl w:val="0"/>
          <w:numId w:val="70"/>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Analysis of real-world DVN examples and case studies to illustrate best practices, challenges, and lessons learned.</w:t>
      </w:r>
      <w:r w:rsidRPr="0009687E">
        <w:rPr>
          <w:rFonts w:asciiTheme="majorHAnsi" w:eastAsia="Times New Roman" w:hAnsiTheme="majorHAnsi" w:cs="Times New Roman"/>
          <w:bCs/>
          <w:sz w:val="24"/>
          <w:szCs w:val="24"/>
        </w:rPr>
        <w:t xml:space="preserve"> </w:t>
      </w:r>
    </w:p>
    <w:p w14:paraId="501BAF8A" w14:textId="77777777" w:rsidR="000D4A65" w:rsidRPr="0009687E" w:rsidRDefault="000D4A65" w:rsidP="00303A6C">
      <w:pPr>
        <w:numPr>
          <w:ilvl w:val="0"/>
          <w:numId w:val="70"/>
        </w:numPr>
        <w:spacing w:after="77" w:line="329" w:lineRule="auto"/>
        <w:ind w:right="3" w:hanging="360"/>
        <w:rPr>
          <w:rFonts w:asciiTheme="majorHAnsi" w:hAnsiTheme="majorHAnsi"/>
          <w:bCs/>
          <w:sz w:val="24"/>
          <w:szCs w:val="24"/>
        </w:rPr>
      </w:pPr>
      <w:r w:rsidRPr="0009687E">
        <w:rPr>
          <w:rFonts w:asciiTheme="majorHAnsi" w:hAnsiTheme="majorHAnsi"/>
          <w:bCs/>
          <w:sz w:val="24"/>
          <w:szCs w:val="24"/>
        </w:rPr>
        <w:t>Interactive workshops and simulations to explore decision-making scenarios, governance structures, and collaboration strategies within DVNs.</w:t>
      </w:r>
      <w:r w:rsidRPr="0009687E">
        <w:rPr>
          <w:rFonts w:asciiTheme="majorHAnsi" w:eastAsia="Times New Roman" w:hAnsiTheme="majorHAnsi" w:cs="Times New Roman"/>
          <w:bCs/>
          <w:sz w:val="24"/>
          <w:szCs w:val="24"/>
        </w:rPr>
        <w:t xml:space="preserve"> </w:t>
      </w:r>
      <w:r w:rsidRPr="0009687E">
        <w:rPr>
          <w:rFonts w:asciiTheme="majorHAnsi" w:hAnsiTheme="majorHAnsi"/>
          <w:bCs/>
          <w:sz w:val="24"/>
          <w:szCs w:val="24"/>
        </w:rPr>
        <w:t>c. Tools and Frameworks for DVN Management:</w:t>
      </w:r>
      <w:r w:rsidRPr="0009687E">
        <w:rPr>
          <w:rFonts w:asciiTheme="majorHAnsi" w:eastAsia="Times New Roman" w:hAnsiTheme="majorHAnsi" w:cs="Times New Roman"/>
          <w:bCs/>
          <w:sz w:val="24"/>
          <w:szCs w:val="24"/>
        </w:rPr>
        <w:t xml:space="preserve"> </w:t>
      </w:r>
    </w:p>
    <w:p w14:paraId="512A326C" w14:textId="77777777" w:rsidR="000D4A65" w:rsidRPr="0009687E" w:rsidRDefault="000D4A65" w:rsidP="00303A6C">
      <w:pPr>
        <w:numPr>
          <w:ilvl w:val="0"/>
          <w:numId w:val="70"/>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Introduction to tools, frameworks, and methodologies for managing DVNs, including network analysis, governance models, and performance metrics.</w:t>
      </w:r>
      <w:r w:rsidRPr="0009687E">
        <w:rPr>
          <w:rFonts w:asciiTheme="majorHAnsi" w:eastAsia="Times New Roman" w:hAnsiTheme="majorHAnsi" w:cs="Times New Roman"/>
          <w:bCs/>
          <w:sz w:val="24"/>
          <w:szCs w:val="24"/>
        </w:rPr>
        <w:t xml:space="preserve"> </w:t>
      </w:r>
    </w:p>
    <w:p w14:paraId="5ADD4BA6" w14:textId="77777777" w:rsidR="000D4A65" w:rsidRPr="0009687E" w:rsidRDefault="000D4A65" w:rsidP="00303A6C">
      <w:pPr>
        <w:numPr>
          <w:ilvl w:val="0"/>
          <w:numId w:val="70"/>
        </w:numPr>
        <w:spacing w:after="78" w:line="328" w:lineRule="auto"/>
        <w:ind w:right="3" w:hanging="360"/>
        <w:rPr>
          <w:rFonts w:asciiTheme="majorHAnsi" w:hAnsiTheme="majorHAnsi"/>
          <w:bCs/>
          <w:sz w:val="24"/>
          <w:szCs w:val="24"/>
        </w:rPr>
      </w:pPr>
      <w:r w:rsidRPr="0009687E">
        <w:rPr>
          <w:rFonts w:asciiTheme="majorHAnsi" w:hAnsiTheme="majorHAnsi"/>
          <w:bCs/>
          <w:sz w:val="24"/>
          <w:szCs w:val="24"/>
        </w:rPr>
        <w:t>Hands-on training in using digital platforms, data analytics, and collaboration tools to facilitate communication, coordination, and value creation within DVNs.</w:t>
      </w:r>
      <w:r w:rsidRPr="0009687E">
        <w:rPr>
          <w:rFonts w:asciiTheme="majorHAnsi" w:eastAsia="Times New Roman" w:hAnsiTheme="majorHAnsi" w:cs="Times New Roman"/>
          <w:bCs/>
          <w:sz w:val="24"/>
          <w:szCs w:val="24"/>
        </w:rPr>
        <w:t xml:space="preserve"> </w:t>
      </w:r>
      <w:r w:rsidRPr="0009687E">
        <w:rPr>
          <w:rFonts w:asciiTheme="majorHAnsi" w:hAnsiTheme="majorHAnsi"/>
          <w:bCs/>
          <w:sz w:val="24"/>
          <w:szCs w:val="24"/>
        </w:rPr>
        <w:t>d. Change Management and Organizational Culture:</w:t>
      </w:r>
      <w:r w:rsidRPr="0009687E">
        <w:rPr>
          <w:rFonts w:asciiTheme="majorHAnsi" w:eastAsia="Times New Roman" w:hAnsiTheme="majorHAnsi" w:cs="Times New Roman"/>
          <w:bCs/>
          <w:sz w:val="24"/>
          <w:szCs w:val="24"/>
        </w:rPr>
        <w:t xml:space="preserve"> </w:t>
      </w:r>
    </w:p>
    <w:p w14:paraId="76AC0727" w14:textId="77777777" w:rsidR="000D4A65" w:rsidRPr="0009687E" w:rsidRDefault="000D4A65" w:rsidP="00303A6C">
      <w:pPr>
        <w:numPr>
          <w:ilvl w:val="0"/>
          <w:numId w:val="70"/>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Strategies for driving organizational change and fostering a culture of innovation, agility, and collaboration to support DVN implementation.</w:t>
      </w:r>
      <w:r w:rsidRPr="0009687E">
        <w:rPr>
          <w:rFonts w:asciiTheme="majorHAnsi" w:eastAsia="Times New Roman" w:hAnsiTheme="majorHAnsi" w:cs="Times New Roman"/>
          <w:bCs/>
          <w:sz w:val="24"/>
          <w:szCs w:val="24"/>
        </w:rPr>
        <w:t xml:space="preserve"> </w:t>
      </w:r>
    </w:p>
    <w:p w14:paraId="409B59EE" w14:textId="77777777" w:rsidR="000D4A65" w:rsidRPr="0009687E" w:rsidRDefault="000D4A65" w:rsidP="00303A6C">
      <w:pPr>
        <w:numPr>
          <w:ilvl w:val="0"/>
          <w:numId w:val="70"/>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Leadership development programs to empower managers and executives to champion DVN initiatives and lead by example.</w:t>
      </w:r>
      <w:r w:rsidRPr="0009687E">
        <w:rPr>
          <w:rFonts w:asciiTheme="majorHAnsi" w:eastAsia="Times New Roman" w:hAnsiTheme="majorHAnsi" w:cs="Times New Roman"/>
          <w:bCs/>
          <w:sz w:val="24"/>
          <w:szCs w:val="24"/>
        </w:rPr>
        <w:t xml:space="preserve"> </w:t>
      </w:r>
    </w:p>
    <w:p w14:paraId="22D5D58E" w14:textId="77777777" w:rsidR="000D4A65" w:rsidRPr="0009687E" w:rsidRDefault="000D4A65" w:rsidP="000D4A65">
      <w:pPr>
        <w:tabs>
          <w:tab w:val="center" w:pos="720"/>
        </w:tabs>
        <w:ind w:left="-15"/>
        <w:rPr>
          <w:rFonts w:asciiTheme="majorHAnsi" w:hAnsiTheme="majorHAnsi"/>
          <w:bCs/>
          <w:sz w:val="24"/>
          <w:szCs w:val="24"/>
        </w:rPr>
      </w:pPr>
      <w:r w:rsidRPr="0009687E">
        <w:rPr>
          <w:rFonts w:asciiTheme="majorHAnsi" w:hAnsiTheme="majorHAnsi"/>
          <w:bCs/>
          <w:sz w:val="24"/>
          <w:szCs w:val="24"/>
        </w:rPr>
        <w:t>•</w:t>
      </w:r>
      <w:r w:rsidRPr="0009687E">
        <w:rPr>
          <w:rFonts w:asciiTheme="majorHAnsi" w:eastAsia="Times New Roman" w:hAnsiTheme="majorHAnsi" w:cs="Times New Roman"/>
          <w:bCs/>
          <w:sz w:val="24"/>
          <w:szCs w:val="24"/>
        </w:rPr>
        <w:t xml:space="preserve"> </w:t>
      </w:r>
      <w:r w:rsidRPr="0009687E">
        <w:rPr>
          <w:rFonts w:asciiTheme="majorHAnsi" w:eastAsia="Times New Roman" w:hAnsiTheme="majorHAnsi" w:cs="Times New Roman"/>
          <w:bCs/>
          <w:sz w:val="24"/>
          <w:szCs w:val="24"/>
        </w:rPr>
        <w:tab/>
        <w:t xml:space="preserve"> </w:t>
      </w:r>
    </w:p>
    <w:p w14:paraId="006E771D" w14:textId="77777777" w:rsidR="000D4A65" w:rsidRPr="0009687E" w:rsidRDefault="000D4A65" w:rsidP="000D4A65">
      <w:pPr>
        <w:tabs>
          <w:tab w:val="center" w:pos="1756"/>
        </w:tabs>
        <w:ind w:left="-15"/>
        <w:rPr>
          <w:rFonts w:asciiTheme="majorHAnsi" w:hAnsiTheme="majorHAnsi"/>
          <w:bCs/>
          <w:sz w:val="24"/>
          <w:szCs w:val="24"/>
        </w:rPr>
      </w:pPr>
      <w:r w:rsidRPr="0009687E">
        <w:rPr>
          <w:rFonts w:asciiTheme="majorHAnsi" w:hAnsiTheme="majorHAnsi"/>
          <w:bCs/>
          <w:sz w:val="24"/>
          <w:szCs w:val="24"/>
        </w:rPr>
        <w:t>4.</w:t>
      </w:r>
      <w:r w:rsidRPr="0009687E">
        <w:rPr>
          <w:rFonts w:asciiTheme="majorHAnsi" w:eastAsia="Times New Roman" w:hAnsiTheme="majorHAnsi" w:cs="Times New Roman"/>
          <w:bCs/>
          <w:sz w:val="24"/>
          <w:szCs w:val="24"/>
        </w:rPr>
        <w:t xml:space="preserve"> </w:t>
      </w:r>
      <w:r w:rsidRPr="0009687E">
        <w:rPr>
          <w:rFonts w:asciiTheme="majorHAnsi" w:eastAsia="Times New Roman" w:hAnsiTheme="majorHAnsi" w:cs="Times New Roman"/>
          <w:bCs/>
          <w:sz w:val="24"/>
          <w:szCs w:val="24"/>
        </w:rPr>
        <w:tab/>
      </w:r>
      <w:r w:rsidRPr="0009687E">
        <w:rPr>
          <w:rFonts w:asciiTheme="majorHAnsi" w:hAnsiTheme="majorHAnsi"/>
          <w:bCs/>
          <w:sz w:val="24"/>
          <w:szCs w:val="24"/>
        </w:rPr>
        <w:t>Implementation Plan:</w:t>
      </w:r>
      <w:r w:rsidRPr="0009687E">
        <w:rPr>
          <w:rFonts w:asciiTheme="majorHAnsi" w:eastAsia="Times New Roman" w:hAnsiTheme="majorHAnsi" w:cs="Times New Roman"/>
          <w:bCs/>
          <w:sz w:val="24"/>
          <w:szCs w:val="24"/>
        </w:rPr>
        <w:t xml:space="preserve"> </w:t>
      </w:r>
    </w:p>
    <w:p w14:paraId="28DC54CD"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a. Assessment and Readiness:</w:t>
      </w:r>
      <w:r w:rsidRPr="0009687E">
        <w:rPr>
          <w:rFonts w:asciiTheme="majorHAnsi" w:eastAsia="Times New Roman" w:hAnsiTheme="majorHAnsi" w:cs="Times New Roman"/>
          <w:bCs/>
          <w:sz w:val="24"/>
          <w:szCs w:val="24"/>
        </w:rPr>
        <w:t xml:space="preserve"> </w:t>
      </w:r>
    </w:p>
    <w:p w14:paraId="27ADF7F8" w14:textId="77777777" w:rsidR="000D4A65" w:rsidRPr="0009687E" w:rsidRDefault="000D4A65" w:rsidP="00303A6C">
      <w:pPr>
        <w:numPr>
          <w:ilvl w:val="0"/>
          <w:numId w:val="71"/>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Conduct an initial assessment of organizational readiness for DVN implementation, including stakeholder buy-in, technological capabilities, and cultural alignment.</w:t>
      </w:r>
      <w:r w:rsidRPr="0009687E">
        <w:rPr>
          <w:rFonts w:asciiTheme="majorHAnsi" w:eastAsia="Times New Roman" w:hAnsiTheme="majorHAnsi" w:cs="Times New Roman"/>
          <w:bCs/>
          <w:sz w:val="24"/>
          <w:szCs w:val="24"/>
        </w:rPr>
        <w:t xml:space="preserve"> </w:t>
      </w:r>
    </w:p>
    <w:p w14:paraId="580EAC9D" w14:textId="77777777" w:rsidR="000D4A65" w:rsidRPr="0009687E" w:rsidRDefault="000D4A65" w:rsidP="00303A6C">
      <w:pPr>
        <w:numPr>
          <w:ilvl w:val="0"/>
          <w:numId w:val="71"/>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Identify key stakeholders and establish a cross-functional implementation team to oversee the process.</w:t>
      </w:r>
      <w:r w:rsidRPr="0009687E">
        <w:rPr>
          <w:rFonts w:asciiTheme="majorHAnsi" w:eastAsia="Times New Roman" w:hAnsiTheme="majorHAnsi" w:cs="Times New Roman"/>
          <w:bCs/>
          <w:sz w:val="24"/>
          <w:szCs w:val="24"/>
        </w:rPr>
        <w:t xml:space="preserve"> </w:t>
      </w:r>
    </w:p>
    <w:p w14:paraId="4600D81E"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b. Pilot Projects and Proof of Concept:</w:t>
      </w:r>
      <w:r w:rsidRPr="0009687E">
        <w:rPr>
          <w:rFonts w:asciiTheme="majorHAnsi" w:eastAsia="Times New Roman" w:hAnsiTheme="majorHAnsi" w:cs="Times New Roman"/>
          <w:bCs/>
          <w:sz w:val="24"/>
          <w:szCs w:val="24"/>
        </w:rPr>
        <w:t xml:space="preserve"> </w:t>
      </w:r>
    </w:p>
    <w:p w14:paraId="296FC739" w14:textId="77777777" w:rsidR="000D4A65" w:rsidRPr="0009687E" w:rsidRDefault="000D4A65" w:rsidP="00303A6C">
      <w:pPr>
        <w:numPr>
          <w:ilvl w:val="0"/>
          <w:numId w:val="72"/>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Select pilot projects or use cases to test DVN principles and strategies in a controlled environment.</w:t>
      </w:r>
      <w:r w:rsidRPr="0009687E">
        <w:rPr>
          <w:rFonts w:asciiTheme="majorHAnsi" w:eastAsia="Times New Roman" w:hAnsiTheme="majorHAnsi" w:cs="Times New Roman"/>
          <w:bCs/>
          <w:sz w:val="24"/>
          <w:szCs w:val="24"/>
        </w:rPr>
        <w:t xml:space="preserve"> </w:t>
      </w:r>
    </w:p>
    <w:p w14:paraId="403AA4C2" w14:textId="77777777" w:rsidR="000D4A65" w:rsidRPr="0009687E" w:rsidRDefault="000D4A65" w:rsidP="00303A6C">
      <w:pPr>
        <w:numPr>
          <w:ilvl w:val="0"/>
          <w:numId w:val="72"/>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 xml:space="preserve">Gather feedback, </w:t>
      </w:r>
      <w:proofErr w:type="gramStart"/>
      <w:r w:rsidRPr="0009687E">
        <w:rPr>
          <w:rFonts w:asciiTheme="majorHAnsi" w:hAnsiTheme="majorHAnsi"/>
          <w:bCs/>
          <w:sz w:val="24"/>
          <w:szCs w:val="24"/>
        </w:rPr>
        <w:t>iterate on</w:t>
      </w:r>
      <w:proofErr w:type="gramEnd"/>
      <w:r w:rsidRPr="0009687E">
        <w:rPr>
          <w:rFonts w:asciiTheme="majorHAnsi" w:hAnsiTheme="majorHAnsi"/>
          <w:bCs/>
          <w:sz w:val="24"/>
          <w:szCs w:val="24"/>
        </w:rPr>
        <w:t xml:space="preserve"> strategies, and refine implementation plans based on pilot project outcomes.</w:t>
      </w:r>
      <w:r w:rsidRPr="0009687E">
        <w:rPr>
          <w:rFonts w:asciiTheme="majorHAnsi" w:eastAsia="Times New Roman" w:hAnsiTheme="majorHAnsi" w:cs="Times New Roman"/>
          <w:bCs/>
          <w:sz w:val="24"/>
          <w:szCs w:val="24"/>
        </w:rPr>
        <w:t xml:space="preserve"> </w:t>
      </w:r>
    </w:p>
    <w:p w14:paraId="24CF7228"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c. Training and Capacity Building:</w:t>
      </w:r>
      <w:r w:rsidRPr="0009687E">
        <w:rPr>
          <w:rFonts w:asciiTheme="majorHAnsi" w:eastAsia="Times New Roman" w:hAnsiTheme="majorHAnsi" w:cs="Times New Roman"/>
          <w:bCs/>
          <w:sz w:val="24"/>
          <w:szCs w:val="24"/>
        </w:rPr>
        <w:t xml:space="preserve"> </w:t>
      </w:r>
    </w:p>
    <w:p w14:paraId="455B2D8A" w14:textId="77777777" w:rsidR="000D4A65" w:rsidRPr="0009687E" w:rsidRDefault="000D4A65" w:rsidP="00303A6C">
      <w:pPr>
        <w:numPr>
          <w:ilvl w:val="0"/>
          <w:numId w:val="73"/>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Roll out DVN training programs tailored to the needs of different stakeholder groups, including leadership, management, and frontline staff.</w:t>
      </w:r>
      <w:r w:rsidRPr="0009687E">
        <w:rPr>
          <w:rFonts w:asciiTheme="majorHAnsi" w:eastAsia="Times New Roman" w:hAnsiTheme="majorHAnsi" w:cs="Times New Roman"/>
          <w:bCs/>
          <w:sz w:val="24"/>
          <w:szCs w:val="24"/>
        </w:rPr>
        <w:t xml:space="preserve"> </w:t>
      </w:r>
    </w:p>
    <w:p w14:paraId="55EEEC23" w14:textId="77777777" w:rsidR="000D4A65" w:rsidRPr="0009687E" w:rsidRDefault="000D4A65" w:rsidP="00303A6C">
      <w:pPr>
        <w:numPr>
          <w:ilvl w:val="0"/>
          <w:numId w:val="73"/>
        </w:numPr>
        <w:spacing w:after="77" w:line="329" w:lineRule="auto"/>
        <w:ind w:right="3" w:hanging="360"/>
        <w:rPr>
          <w:rFonts w:asciiTheme="majorHAnsi" w:hAnsiTheme="majorHAnsi"/>
          <w:bCs/>
          <w:sz w:val="24"/>
          <w:szCs w:val="24"/>
        </w:rPr>
      </w:pPr>
      <w:r w:rsidRPr="0009687E">
        <w:rPr>
          <w:rFonts w:asciiTheme="majorHAnsi" w:hAnsiTheme="majorHAnsi"/>
          <w:bCs/>
          <w:sz w:val="24"/>
          <w:szCs w:val="24"/>
        </w:rPr>
        <w:t>Provide ongoing support and coaching to individuals and teams as they apply DVN concepts and tools in their day-to-day work.</w:t>
      </w:r>
      <w:r w:rsidRPr="0009687E">
        <w:rPr>
          <w:rFonts w:asciiTheme="majorHAnsi" w:eastAsia="Times New Roman" w:hAnsiTheme="majorHAnsi" w:cs="Times New Roman"/>
          <w:bCs/>
          <w:sz w:val="24"/>
          <w:szCs w:val="24"/>
        </w:rPr>
        <w:t xml:space="preserve"> </w:t>
      </w:r>
      <w:r w:rsidRPr="0009687E">
        <w:rPr>
          <w:rFonts w:asciiTheme="majorHAnsi" w:hAnsiTheme="majorHAnsi"/>
          <w:bCs/>
          <w:sz w:val="24"/>
          <w:szCs w:val="24"/>
        </w:rPr>
        <w:t>d. Monitoring and Evaluation:</w:t>
      </w:r>
      <w:r w:rsidRPr="0009687E">
        <w:rPr>
          <w:rFonts w:asciiTheme="majorHAnsi" w:eastAsia="Times New Roman" w:hAnsiTheme="majorHAnsi" w:cs="Times New Roman"/>
          <w:bCs/>
          <w:sz w:val="24"/>
          <w:szCs w:val="24"/>
        </w:rPr>
        <w:t xml:space="preserve"> </w:t>
      </w:r>
    </w:p>
    <w:p w14:paraId="49E5CEDC" w14:textId="77777777" w:rsidR="000D4A65" w:rsidRPr="0009687E" w:rsidRDefault="000D4A65" w:rsidP="00303A6C">
      <w:pPr>
        <w:numPr>
          <w:ilvl w:val="0"/>
          <w:numId w:val="73"/>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Establish performance metrics and KPIs to track the impact of DVN implementation on key business outcomes, such as innovation, collaboration effectiveness, and value creation.</w:t>
      </w:r>
      <w:r w:rsidRPr="0009687E">
        <w:rPr>
          <w:rFonts w:asciiTheme="majorHAnsi" w:eastAsia="Times New Roman" w:hAnsiTheme="majorHAnsi" w:cs="Times New Roman"/>
          <w:bCs/>
          <w:sz w:val="24"/>
          <w:szCs w:val="24"/>
        </w:rPr>
        <w:t xml:space="preserve"> </w:t>
      </w:r>
    </w:p>
    <w:p w14:paraId="103DA717" w14:textId="77777777" w:rsidR="000D4A65" w:rsidRPr="0009687E" w:rsidRDefault="000D4A65" w:rsidP="00303A6C">
      <w:pPr>
        <w:numPr>
          <w:ilvl w:val="0"/>
          <w:numId w:val="73"/>
        </w:numPr>
        <w:spacing w:after="77" w:line="329" w:lineRule="auto"/>
        <w:ind w:right="3" w:hanging="360"/>
        <w:rPr>
          <w:rFonts w:asciiTheme="majorHAnsi" w:hAnsiTheme="majorHAnsi"/>
          <w:bCs/>
          <w:sz w:val="24"/>
          <w:szCs w:val="24"/>
        </w:rPr>
      </w:pPr>
      <w:r w:rsidRPr="0009687E">
        <w:rPr>
          <w:rFonts w:asciiTheme="majorHAnsi" w:hAnsiTheme="majorHAnsi"/>
          <w:bCs/>
          <w:sz w:val="24"/>
          <w:szCs w:val="24"/>
        </w:rPr>
        <w:t xml:space="preserve">Conduct regular evaluations and reviews to assess progress, identify areas for improvement, and </w:t>
      </w:r>
      <w:proofErr w:type="gramStart"/>
      <w:r w:rsidRPr="0009687E">
        <w:rPr>
          <w:rFonts w:asciiTheme="majorHAnsi" w:hAnsiTheme="majorHAnsi"/>
          <w:bCs/>
          <w:sz w:val="24"/>
          <w:szCs w:val="24"/>
        </w:rPr>
        <w:t>make adjustments to</w:t>
      </w:r>
      <w:proofErr w:type="gramEnd"/>
      <w:r w:rsidRPr="0009687E">
        <w:rPr>
          <w:rFonts w:asciiTheme="majorHAnsi" w:hAnsiTheme="majorHAnsi"/>
          <w:bCs/>
          <w:sz w:val="24"/>
          <w:szCs w:val="24"/>
        </w:rPr>
        <w:t xml:space="preserve"> implementation strategies as needed.</w:t>
      </w:r>
      <w:r w:rsidRPr="0009687E">
        <w:rPr>
          <w:rFonts w:asciiTheme="majorHAnsi" w:eastAsia="Times New Roman" w:hAnsiTheme="majorHAnsi" w:cs="Times New Roman"/>
          <w:bCs/>
          <w:sz w:val="24"/>
          <w:szCs w:val="24"/>
        </w:rPr>
        <w:t xml:space="preserve"> </w:t>
      </w:r>
      <w:r w:rsidRPr="0009687E">
        <w:rPr>
          <w:rFonts w:asciiTheme="majorHAnsi" w:hAnsiTheme="majorHAnsi"/>
          <w:bCs/>
          <w:sz w:val="24"/>
          <w:szCs w:val="24"/>
        </w:rPr>
        <w:t>e. Scaling and Expansion:</w:t>
      </w:r>
      <w:r w:rsidRPr="0009687E">
        <w:rPr>
          <w:rFonts w:asciiTheme="majorHAnsi" w:eastAsia="Times New Roman" w:hAnsiTheme="majorHAnsi" w:cs="Times New Roman"/>
          <w:bCs/>
          <w:sz w:val="24"/>
          <w:szCs w:val="24"/>
        </w:rPr>
        <w:t xml:space="preserve"> </w:t>
      </w:r>
    </w:p>
    <w:p w14:paraId="283FD6AD" w14:textId="77777777" w:rsidR="000D4A65" w:rsidRPr="0009687E" w:rsidRDefault="000D4A65" w:rsidP="00303A6C">
      <w:pPr>
        <w:numPr>
          <w:ilvl w:val="0"/>
          <w:numId w:val="73"/>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Scale up successful DVN initiatives and expand implementation efforts across additional business units, departments, or regions.</w:t>
      </w:r>
      <w:r w:rsidRPr="0009687E">
        <w:rPr>
          <w:rFonts w:asciiTheme="majorHAnsi" w:eastAsia="Times New Roman" w:hAnsiTheme="majorHAnsi" w:cs="Times New Roman"/>
          <w:bCs/>
          <w:sz w:val="24"/>
          <w:szCs w:val="24"/>
        </w:rPr>
        <w:t xml:space="preserve"> </w:t>
      </w:r>
    </w:p>
    <w:p w14:paraId="341B82F7" w14:textId="77777777" w:rsidR="000D4A65" w:rsidRPr="0009687E" w:rsidRDefault="000D4A65" w:rsidP="00303A6C">
      <w:pPr>
        <w:numPr>
          <w:ilvl w:val="0"/>
          <w:numId w:val="73"/>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Foster a culture of continuous learning and improvement, encouraging experimentation, knowledge sharing, and adaptation to changing market dynamics.</w:t>
      </w:r>
      <w:r w:rsidRPr="0009687E">
        <w:rPr>
          <w:rFonts w:asciiTheme="majorHAnsi" w:eastAsia="Times New Roman" w:hAnsiTheme="majorHAnsi" w:cs="Times New Roman"/>
          <w:bCs/>
          <w:sz w:val="24"/>
          <w:szCs w:val="24"/>
        </w:rPr>
        <w:t xml:space="preserve"> </w:t>
      </w:r>
    </w:p>
    <w:p w14:paraId="1E7C0896" w14:textId="77777777" w:rsidR="000D4A65" w:rsidRPr="0009687E" w:rsidRDefault="000D4A65" w:rsidP="000D4A65">
      <w:pPr>
        <w:tabs>
          <w:tab w:val="center" w:pos="1729"/>
        </w:tabs>
        <w:ind w:left="-15"/>
        <w:rPr>
          <w:rFonts w:asciiTheme="majorHAnsi" w:hAnsiTheme="majorHAnsi"/>
          <w:bCs/>
          <w:sz w:val="24"/>
          <w:szCs w:val="24"/>
        </w:rPr>
      </w:pPr>
      <w:r w:rsidRPr="0009687E">
        <w:rPr>
          <w:rFonts w:asciiTheme="majorHAnsi" w:hAnsiTheme="majorHAnsi"/>
          <w:bCs/>
          <w:sz w:val="24"/>
          <w:szCs w:val="24"/>
        </w:rPr>
        <w:t>5.</w:t>
      </w:r>
      <w:r w:rsidRPr="0009687E">
        <w:rPr>
          <w:rFonts w:asciiTheme="majorHAnsi" w:eastAsia="Times New Roman" w:hAnsiTheme="majorHAnsi" w:cs="Times New Roman"/>
          <w:bCs/>
          <w:sz w:val="24"/>
          <w:szCs w:val="24"/>
        </w:rPr>
        <w:t xml:space="preserve"> </w:t>
      </w:r>
      <w:r w:rsidRPr="0009687E">
        <w:rPr>
          <w:rFonts w:asciiTheme="majorHAnsi" w:eastAsia="Times New Roman" w:hAnsiTheme="majorHAnsi" w:cs="Times New Roman"/>
          <w:bCs/>
          <w:sz w:val="24"/>
          <w:szCs w:val="24"/>
        </w:rPr>
        <w:tab/>
      </w:r>
      <w:r w:rsidRPr="0009687E">
        <w:rPr>
          <w:rFonts w:asciiTheme="majorHAnsi" w:hAnsiTheme="majorHAnsi"/>
          <w:bCs/>
          <w:sz w:val="24"/>
          <w:szCs w:val="24"/>
        </w:rPr>
        <w:t>Resource Allocation:</w:t>
      </w:r>
      <w:r w:rsidRPr="0009687E">
        <w:rPr>
          <w:rFonts w:asciiTheme="majorHAnsi" w:eastAsia="Times New Roman" w:hAnsiTheme="majorHAnsi" w:cs="Times New Roman"/>
          <w:bCs/>
          <w:sz w:val="24"/>
          <w:szCs w:val="24"/>
        </w:rPr>
        <w:t xml:space="preserve"> </w:t>
      </w:r>
    </w:p>
    <w:p w14:paraId="17622794" w14:textId="77777777" w:rsidR="000D4A65" w:rsidRPr="0009687E" w:rsidRDefault="000D4A65" w:rsidP="00303A6C">
      <w:pPr>
        <w:numPr>
          <w:ilvl w:val="0"/>
          <w:numId w:val="74"/>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Allocate resources for training and capacity-building initiatives, including budget for workshops, training materials, and external facilitators if needed.</w:t>
      </w:r>
      <w:r w:rsidRPr="0009687E">
        <w:rPr>
          <w:rFonts w:asciiTheme="majorHAnsi" w:eastAsia="Times New Roman" w:hAnsiTheme="majorHAnsi" w:cs="Times New Roman"/>
          <w:bCs/>
          <w:sz w:val="24"/>
          <w:szCs w:val="24"/>
        </w:rPr>
        <w:t xml:space="preserve"> </w:t>
      </w:r>
    </w:p>
    <w:p w14:paraId="2B951E60" w14:textId="77777777" w:rsidR="000D4A65" w:rsidRPr="0009687E" w:rsidRDefault="000D4A65" w:rsidP="00303A6C">
      <w:pPr>
        <w:numPr>
          <w:ilvl w:val="0"/>
          <w:numId w:val="74"/>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Provide access to tools, technologies, and resources required for DVN management, such as collaboration platforms, data analytics software, and project management tools.</w:t>
      </w:r>
      <w:r w:rsidRPr="0009687E">
        <w:rPr>
          <w:rFonts w:asciiTheme="majorHAnsi" w:eastAsia="Times New Roman" w:hAnsiTheme="majorHAnsi" w:cs="Times New Roman"/>
          <w:bCs/>
          <w:sz w:val="24"/>
          <w:szCs w:val="24"/>
        </w:rPr>
        <w:t xml:space="preserve"> </w:t>
      </w:r>
    </w:p>
    <w:p w14:paraId="12BB18E7" w14:textId="77777777" w:rsidR="000D4A65" w:rsidRPr="0009687E" w:rsidRDefault="000D4A65" w:rsidP="000D4A65">
      <w:pPr>
        <w:tabs>
          <w:tab w:val="center" w:pos="1183"/>
        </w:tabs>
        <w:ind w:left="-15"/>
        <w:rPr>
          <w:rFonts w:asciiTheme="majorHAnsi" w:hAnsiTheme="majorHAnsi"/>
          <w:bCs/>
          <w:sz w:val="24"/>
          <w:szCs w:val="24"/>
        </w:rPr>
      </w:pPr>
      <w:r w:rsidRPr="0009687E">
        <w:rPr>
          <w:rFonts w:asciiTheme="majorHAnsi" w:hAnsiTheme="majorHAnsi"/>
          <w:bCs/>
          <w:sz w:val="24"/>
          <w:szCs w:val="24"/>
        </w:rPr>
        <w:t>6.</w:t>
      </w:r>
      <w:r w:rsidRPr="0009687E">
        <w:rPr>
          <w:rFonts w:asciiTheme="majorHAnsi" w:eastAsia="Times New Roman" w:hAnsiTheme="majorHAnsi" w:cs="Times New Roman"/>
          <w:bCs/>
          <w:sz w:val="24"/>
          <w:szCs w:val="24"/>
        </w:rPr>
        <w:t xml:space="preserve"> </w:t>
      </w:r>
      <w:r w:rsidRPr="0009687E">
        <w:rPr>
          <w:rFonts w:asciiTheme="majorHAnsi" w:eastAsia="Times New Roman" w:hAnsiTheme="majorHAnsi" w:cs="Times New Roman"/>
          <w:bCs/>
          <w:sz w:val="24"/>
          <w:szCs w:val="24"/>
        </w:rPr>
        <w:tab/>
      </w:r>
      <w:r w:rsidRPr="0009687E">
        <w:rPr>
          <w:rFonts w:asciiTheme="majorHAnsi" w:hAnsiTheme="majorHAnsi"/>
          <w:bCs/>
          <w:sz w:val="24"/>
          <w:szCs w:val="24"/>
        </w:rPr>
        <w:t>Timeline:</w:t>
      </w:r>
      <w:r w:rsidRPr="0009687E">
        <w:rPr>
          <w:rFonts w:asciiTheme="majorHAnsi" w:eastAsia="Times New Roman" w:hAnsiTheme="majorHAnsi" w:cs="Times New Roman"/>
          <w:bCs/>
          <w:sz w:val="24"/>
          <w:szCs w:val="24"/>
        </w:rPr>
        <w:t xml:space="preserve"> </w:t>
      </w:r>
    </w:p>
    <w:p w14:paraId="2EB70918" w14:textId="77777777" w:rsidR="000D4A65" w:rsidRPr="0009687E" w:rsidRDefault="000D4A65" w:rsidP="00303A6C">
      <w:pPr>
        <w:numPr>
          <w:ilvl w:val="0"/>
          <w:numId w:val="75"/>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Develop a phased implementation timeline, with milestones, deliverables, and timelines for each phase of the training and implementation process.</w:t>
      </w:r>
      <w:r w:rsidRPr="0009687E">
        <w:rPr>
          <w:rFonts w:asciiTheme="majorHAnsi" w:eastAsia="Times New Roman" w:hAnsiTheme="majorHAnsi" w:cs="Times New Roman"/>
          <w:bCs/>
          <w:sz w:val="24"/>
          <w:szCs w:val="24"/>
        </w:rPr>
        <w:t xml:space="preserve"> </w:t>
      </w:r>
    </w:p>
    <w:p w14:paraId="3EE4B9E2" w14:textId="77777777" w:rsidR="000D4A65" w:rsidRPr="0009687E" w:rsidRDefault="000D4A65" w:rsidP="00303A6C">
      <w:pPr>
        <w:numPr>
          <w:ilvl w:val="0"/>
          <w:numId w:val="75"/>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Allow sufficient time for training, pilot projects, feedback collection, and iterative improvement, ensuring a gradual and systematic approach to DVN implementation.</w:t>
      </w:r>
      <w:r w:rsidRPr="0009687E">
        <w:rPr>
          <w:rFonts w:asciiTheme="majorHAnsi" w:eastAsia="Times New Roman" w:hAnsiTheme="majorHAnsi" w:cs="Times New Roman"/>
          <w:bCs/>
          <w:sz w:val="24"/>
          <w:szCs w:val="24"/>
        </w:rPr>
        <w:t xml:space="preserve"> </w:t>
      </w:r>
    </w:p>
    <w:p w14:paraId="67BBD69C" w14:textId="77777777" w:rsidR="000D4A65" w:rsidRPr="0009687E" w:rsidRDefault="000D4A65" w:rsidP="000D4A65">
      <w:pPr>
        <w:tabs>
          <w:tab w:val="center" w:pos="2962"/>
        </w:tabs>
        <w:ind w:left="-15"/>
        <w:rPr>
          <w:rFonts w:asciiTheme="majorHAnsi" w:hAnsiTheme="majorHAnsi"/>
          <w:bCs/>
          <w:sz w:val="24"/>
          <w:szCs w:val="24"/>
        </w:rPr>
      </w:pPr>
      <w:r w:rsidRPr="0009687E">
        <w:rPr>
          <w:rFonts w:asciiTheme="majorHAnsi" w:hAnsiTheme="majorHAnsi"/>
          <w:bCs/>
          <w:sz w:val="24"/>
          <w:szCs w:val="24"/>
        </w:rPr>
        <w:t>7.</w:t>
      </w:r>
      <w:r w:rsidRPr="0009687E">
        <w:rPr>
          <w:rFonts w:asciiTheme="majorHAnsi" w:eastAsia="Times New Roman" w:hAnsiTheme="majorHAnsi" w:cs="Times New Roman"/>
          <w:bCs/>
          <w:sz w:val="24"/>
          <w:szCs w:val="24"/>
        </w:rPr>
        <w:t xml:space="preserve"> </w:t>
      </w:r>
      <w:r w:rsidRPr="0009687E">
        <w:rPr>
          <w:rFonts w:asciiTheme="majorHAnsi" w:eastAsia="Times New Roman" w:hAnsiTheme="majorHAnsi" w:cs="Times New Roman"/>
          <w:bCs/>
          <w:sz w:val="24"/>
          <w:szCs w:val="24"/>
        </w:rPr>
        <w:tab/>
      </w:r>
      <w:r w:rsidRPr="0009687E">
        <w:rPr>
          <w:rFonts w:asciiTheme="majorHAnsi" w:hAnsiTheme="majorHAnsi"/>
          <w:bCs/>
          <w:sz w:val="24"/>
          <w:szCs w:val="24"/>
        </w:rPr>
        <w:t>Communication and Stakeholder Engagement:</w:t>
      </w:r>
      <w:r w:rsidRPr="0009687E">
        <w:rPr>
          <w:rFonts w:asciiTheme="majorHAnsi" w:eastAsia="Times New Roman" w:hAnsiTheme="majorHAnsi" w:cs="Times New Roman"/>
          <w:bCs/>
          <w:sz w:val="24"/>
          <w:szCs w:val="24"/>
        </w:rPr>
        <w:t xml:space="preserve"> </w:t>
      </w:r>
    </w:p>
    <w:p w14:paraId="2C2511C3" w14:textId="77777777" w:rsidR="000D4A65" w:rsidRPr="0009687E" w:rsidRDefault="000D4A65" w:rsidP="00303A6C">
      <w:pPr>
        <w:numPr>
          <w:ilvl w:val="0"/>
          <w:numId w:val="76"/>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Develop a communication plan to keep stakeholders informed and engaged throughout the training and implementation process.</w:t>
      </w:r>
      <w:r w:rsidRPr="0009687E">
        <w:rPr>
          <w:rFonts w:asciiTheme="majorHAnsi" w:eastAsia="Times New Roman" w:hAnsiTheme="majorHAnsi" w:cs="Times New Roman"/>
          <w:bCs/>
          <w:sz w:val="24"/>
          <w:szCs w:val="24"/>
        </w:rPr>
        <w:t xml:space="preserve"> </w:t>
      </w:r>
    </w:p>
    <w:p w14:paraId="25273FAE" w14:textId="77777777" w:rsidR="000D4A65" w:rsidRPr="0009687E" w:rsidRDefault="000D4A65" w:rsidP="00303A6C">
      <w:pPr>
        <w:numPr>
          <w:ilvl w:val="0"/>
          <w:numId w:val="76"/>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Provide regular updates, progress reports, and opportunities for feedback and input to ensure alignment and support from all stakeholders.</w:t>
      </w:r>
      <w:r w:rsidRPr="0009687E">
        <w:rPr>
          <w:rFonts w:asciiTheme="majorHAnsi" w:eastAsia="Times New Roman" w:hAnsiTheme="majorHAnsi" w:cs="Times New Roman"/>
          <w:bCs/>
          <w:sz w:val="24"/>
          <w:szCs w:val="24"/>
        </w:rPr>
        <w:t xml:space="preserve"> </w:t>
      </w:r>
    </w:p>
    <w:p w14:paraId="6DC2C7E1" w14:textId="77777777" w:rsidR="000D4A65" w:rsidRPr="0009687E" w:rsidRDefault="000D4A65" w:rsidP="000D4A65">
      <w:pPr>
        <w:tabs>
          <w:tab w:val="center" w:pos="1629"/>
        </w:tabs>
        <w:ind w:left="-15"/>
        <w:rPr>
          <w:rFonts w:asciiTheme="majorHAnsi" w:hAnsiTheme="majorHAnsi"/>
          <w:bCs/>
          <w:sz w:val="24"/>
          <w:szCs w:val="24"/>
        </w:rPr>
      </w:pPr>
      <w:r w:rsidRPr="0009687E">
        <w:rPr>
          <w:rFonts w:asciiTheme="majorHAnsi" w:hAnsiTheme="majorHAnsi"/>
          <w:bCs/>
          <w:sz w:val="24"/>
          <w:szCs w:val="24"/>
        </w:rPr>
        <w:t>8.</w:t>
      </w:r>
      <w:r w:rsidRPr="0009687E">
        <w:rPr>
          <w:rFonts w:asciiTheme="majorHAnsi" w:eastAsia="Times New Roman" w:hAnsiTheme="majorHAnsi" w:cs="Times New Roman"/>
          <w:bCs/>
          <w:sz w:val="24"/>
          <w:szCs w:val="24"/>
        </w:rPr>
        <w:t xml:space="preserve"> </w:t>
      </w:r>
      <w:r w:rsidRPr="0009687E">
        <w:rPr>
          <w:rFonts w:asciiTheme="majorHAnsi" w:eastAsia="Times New Roman" w:hAnsiTheme="majorHAnsi" w:cs="Times New Roman"/>
          <w:bCs/>
          <w:sz w:val="24"/>
          <w:szCs w:val="24"/>
        </w:rPr>
        <w:tab/>
      </w:r>
      <w:r w:rsidRPr="0009687E">
        <w:rPr>
          <w:rFonts w:asciiTheme="majorHAnsi" w:hAnsiTheme="majorHAnsi"/>
          <w:bCs/>
          <w:sz w:val="24"/>
          <w:szCs w:val="24"/>
        </w:rPr>
        <w:t>Risk Management:</w:t>
      </w:r>
      <w:r w:rsidRPr="0009687E">
        <w:rPr>
          <w:rFonts w:asciiTheme="majorHAnsi" w:eastAsia="Times New Roman" w:hAnsiTheme="majorHAnsi" w:cs="Times New Roman"/>
          <w:bCs/>
          <w:sz w:val="24"/>
          <w:szCs w:val="24"/>
        </w:rPr>
        <w:t xml:space="preserve"> </w:t>
      </w:r>
    </w:p>
    <w:p w14:paraId="647B027D" w14:textId="77777777" w:rsidR="000D4A65" w:rsidRPr="0009687E" w:rsidRDefault="000D4A65" w:rsidP="00303A6C">
      <w:pPr>
        <w:numPr>
          <w:ilvl w:val="0"/>
          <w:numId w:val="7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Identify potential risks and challenges associated with DVN implementation, such as resistance to change, technical barriers, and governance issues.</w:t>
      </w:r>
      <w:r w:rsidRPr="0009687E">
        <w:rPr>
          <w:rFonts w:asciiTheme="majorHAnsi" w:eastAsia="Times New Roman" w:hAnsiTheme="majorHAnsi" w:cs="Times New Roman"/>
          <w:bCs/>
          <w:sz w:val="24"/>
          <w:szCs w:val="24"/>
        </w:rPr>
        <w:t xml:space="preserve"> </w:t>
      </w:r>
    </w:p>
    <w:p w14:paraId="5E1B6A12" w14:textId="77777777" w:rsidR="000D4A65" w:rsidRPr="0009687E" w:rsidRDefault="000D4A65" w:rsidP="00303A6C">
      <w:pPr>
        <w:numPr>
          <w:ilvl w:val="0"/>
          <w:numId w:val="77"/>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Develop risk mitigation strategies and contingency plans to address potential challenges and minimize disruptions to the implementation process.</w:t>
      </w:r>
      <w:r w:rsidRPr="0009687E">
        <w:rPr>
          <w:rFonts w:asciiTheme="majorHAnsi" w:eastAsia="Times New Roman" w:hAnsiTheme="majorHAnsi" w:cs="Times New Roman"/>
          <w:bCs/>
          <w:sz w:val="24"/>
          <w:szCs w:val="24"/>
        </w:rPr>
        <w:t xml:space="preserve"> </w:t>
      </w:r>
    </w:p>
    <w:p w14:paraId="5CC12D9F" w14:textId="77777777" w:rsidR="000D4A65" w:rsidRPr="0009687E" w:rsidRDefault="000D4A65" w:rsidP="000D4A65">
      <w:pPr>
        <w:tabs>
          <w:tab w:val="center" w:pos="2735"/>
        </w:tabs>
        <w:ind w:left="-15"/>
        <w:rPr>
          <w:rFonts w:asciiTheme="majorHAnsi" w:hAnsiTheme="majorHAnsi"/>
          <w:bCs/>
          <w:sz w:val="24"/>
          <w:szCs w:val="24"/>
        </w:rPr>
      </w:pPr>
      <w:r w:rsidRPr="0009687E">
        <w:rPr>
          <w:rFonts w:asciiTheme="majorHAnsi" w:hAnsiTheme="majorHAnsi"/>
          <w:bCs/>
          <w:sz w:val="24"/>
          <w:szCs w:val="24"/>
        </w:rPr>
        <w:t>9.</w:t>
      </w:r>
      <w:r w:rsidRPr="0009687E">
        <w:rPr>
          <w:rFonts w:asciiTheme="majorHAnsi" w:eastAsia="Times New Roman" w:hAnsiTheme="majorHAnsi" w:cs="Times New Roman"/>
          <w:bCs/>
          <w:sz w:val="24"/>
          <w:szCs w:val="24"/>
        </w:rPr>
        <w:t xml:space="preserve"> </w:t>
      </w:r>
      <w:r w:rsidRPr="0009687E">
        <w:rPr>
          <w:rFonts w:asciiTheme="majorHAnsi" w:eastAsia="Times New Roman" w:hAnsiTheme="majorHAnsi" w:cs="Times New Roman"/>
          <w:bCs/>
          <w:sz w:val="24"/>
          <w:szCs w:val="24"/>
        </w:rPr>
        <w:tab/>
      </w:r>
      <w:r w:rsidRPr="0009687E">
        <w:rPr>
          <w:rFonts w:asciiTheme="majorHAnsi" w:hAnsiTheme="majorHAnsi"/>
          <w:bCs/>
          <w:sz w:val="24"/>
          <w:szCs w:val="24"/>
        </w:rPr>
        <w:t>Evaluation and Continuous Improvement:</w:t>
      </w:r>
      <w:r w:rsidRPr="0009687E">
        <w:rPr>
          <w:rFonts w:asciiTheme="majorHAnsi" w:eastAsia="Times New Roman" w:hAnsiTheme="majorHAnsi" w:cs="Times New Roman"/>
          <w:bCs/>
          <w:sz w:val="24"/>
          <w:szCs w:val="24"/>
        </w:rPr>
        <w:t xml:space="preserve"> </w:t>
      </w:r>
    </w:p>
    <w:p w14:paraId="7A001AFA" w14:textId="77777777" w:rsidR="000D4A65" w:rsidRPr="0009687E" w:rsidRDefault="000D4A65" w:rsidP="00303A6C">
      <w:pPr>
        <w:numPr>
          <w:ilvl w:val="0"/>
          <w:numId w:val="78"/>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Establish mechanisms for ongoing evaluation and feedback collection to assess the effectiveness of DVN training and implementation efforts.</w:t>
      </w:r>
      <w:r w:rsidRPr="0009687E">
        <w:rPr>
          <w:rFonts w:asciiTheme="majorHAnsi" w:eastAsia="Times New Roman" w:hAnsiTheme="majorHAnsi" w:cs="Times New Roman"/>
          <w:bCs/>
          <w:sz w:val="24"/>
          <w:szCs w:val="24"/>
        </w:rPr>
        <w:t xml:space="preserve"> </w:t>
      </w:r>
    </w:p>
    <w:p w14:paraId="7117F070" w14:textId="77777777" w:rsidR="000D4A65" w:rsidRPr="0009687E" w:rsidRDefault="000D4A65" w:rsidP="00303A6C">
      <w:pPr>
        <w:numPr>
          <w:ilvl w:val="0"/>
          <w:numId w:val="78"/>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Use insights from evaluations to identify areas for improvement, refine implementation strategies, and drive continuous learning and improvement.</w:t>
      </w:r>
      <w:r w:rsidRPr="0009687E">
        <w:rPr>
          <w:rFonts w:asciiTheme="majorHAnsi" w:eastAsia="Times New Roman" w:hAnsiTheme="majorHAnsi" w:cs="Times New Roman"/>
          <w:bCs/>
          <w:sz w:val="24"/>
          <w:szCs w:val="24"/>
        </w:rPr>
        <w:t xml:space="preserve"> </w:t>
      </w:r>
    </w:p>
    <w:p w14:paraId="3E6FF033" w14:textId="77777777" w:rsidR="000D4A65" w:rsidRPr="0009687E" w:rsidRDefault="000D4A65" w:rsidP="000D4A65">
      <w:pPr>
        <w:tabs>
          <w:tab w:val="center" w:pos="2570"/>
        </w:tabs>
        <w:ind w:left="-15"/>
        <w:rPr>
          <w:rFonts w:asciiTheme="majorHAnsi" w:hAnsiTheme="majorHAnsi"/>
          <w:bCs/>
          <w:sz w:val="24"/>
          <w:szCs w:val="24"/>
        </w:rPr>
      </w:pPr>
      <w:r w:rsidRPr="0009687E">
        <w:rPr>
          <w:rFonts w:asciiTheme="majorHAnsi" w:hAnsiTheme="majorHAnsi"/>
          <w:bCs/>
          <w:sz w:val="24"/>
          <w:szCs w:val="24"/>
        </w:rPr>
        <w:t>10.</w:t>
      </w:r>
      <w:r w:rsidRPr="0009687E">
        <w:rPr>
          <w:rFonts w:asciiTheme="majorHAnsi" w:eastAsia="Times New Roman" w:hAnsiTheme="majorHAnsi" w:cs="Times New Roman"/>
          <w:bCs/>
          <w:sz w:val="24"/>
          <w:szCs w:val="24"/>
        </w:rPr>
        <w:t xml:space="preserve"> </w:t>
      </w:r>
      <w:r w:rsidRPr="0009687E">
        <w:rPr>
          <w:rFonts w:asciiTheme="majorHAnsi" w:eastAsia="Times New Roman" w:hAnsiTheme="majorHAnsi" w:cs="Times New Roman"/>
          <w:bCs/>
          <w:sz w:val="24"/>
          <w:szCs w:val="24"/>
        </w:rPr>
        <w:tab/>
      </w:r>
      <w:r w:rsidRPr="0009687E">
        <w:rPr>
          <w:rFonts w:asciiTheme="majorHAnsi" w:hAnsiTheme="majorHAnsi"/>
          <w:bCs/>
          <w:sz w:val="24"/>
          <w:szCs w:val="24"/>
        </w:rPr>
        <w:t>Sustainability and Long-term Support:</w:t>
      </w:r>
      <w:r w:rsidRPr="0009687E">
        <w:rPr>
          <w:rFonts w:asciiTheme="majorHAnsi" w:eastAsia="Times New Roman" w:hAnsiTheme="majorHAnsi" w:cs="Times New Roman"/>
          <w:bCs/>
          <w:sz w:val="24"/>
          <w:szCs w:val="24"/>
        </w:rPr>
        <w:t xml:space="preserve"> </w:t>
      </w:r>
    </w:p>
    <w:p w14:paraId="675EA393" w14:textId="77777777" w:rsidR="000D4A65" w:rsidRPr="0009687E" w:rsidRDefault="000D4A65" w:rsidP="00303A6C">
      <w:pPr>
        <w:numPr>
          <w:ilvl w:val="0"/>
          <w:numId w:val="79"/>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Ensure sustainability of DVN initiatives by integrating DVN principles and practices into organizational policies, processes, and culture.</w:t>
      </w:r>
      <w:r w:rsidRPr="0009687E">
        <w:rPr>
          <w:rFonts w:asciiTheme="majorHAnsi" w:eastAsia="Times New Roman" w:hAnsiTheme="majorHAnsi" w:cs="Times New Roman"/>
          <w:bCs/>
          <w:sz w:val="24"/>
          <w:szCs w:val="24"/>
        </w:rPr>
        <w:t xml:space="preserve"> </w:t>
      </w:r>
    </w:p>
    <w:p w14:paraId="34B63072" w14:textId="77777777" w:rsidR="000D4A65" w:rsidRPr="0009687E" w:rsidRDefault="000D4A65" w:rsidP="00303A6C">
      <w:pPr>
        <w:numPr>
          <w:ilvl w:val="0"/>
          <w:numId w:val="79"/>
        </w:numPr>
        <w:spacing w:after="153" w:line="265" w:lineRule="auto"/>
        <w:ind w:right="3" w:hanging="360"/>
        <w:rPr>
          <w:rFonts w:asciiTheme="majorHAnsi" w:hAnsiTheme="majorHAnsi"/>
          <w:bCs/>
          <w:sz w:val="24"/>
          <w:szCs w:val="24"/>
        </w:rPr>
      </w:pPr>
      <w:r w:rsidRPr="0009687E">
        <w:rPr>
          <w:rFonts w:asciiTheme="majorHAnsi" w:hAnsiTheme="majorHAnsi"/>
          <w:bCs/>
          <w:sz w:val="24"/>
          <w:szCs w:val="24"/>
        </w:rPr>
        <w:t>Provide long-term support and resources for ongoing DVN management, including training, coaching, and access to expertise and support networks.</w:t>
      </w:r>
      <w:r w:rsidRPr="0009687E">
        <w:rPr>
          <w:rFonts w:asciiTheme="majorHAnsi" w:eastAsia="Times New Roman" w:hAnsiTheme="majorHAnsi" w:cs="Times New Roman"/>
          <w:bCs/>
          <w:sz w:val="24"/>
          <w:szCs w:val="24"/>
        </w:rPr>
        <w:t xml:space="preserve"> </w:t>
      </w:r>
    </w:p>
    <w:p w14:paraId="4C6D4A6C" w14:textId="77777777" w:rsidR="000D4A65" w:rsidRPr="0009687E" w:rsidRDefault="000D4A65" w:rsidP="000D4A65">
      <w:pPr>
        <w:ind w:left="-5" w:right="3"/>
        <w:rPr>
          <w:rFonts w:asciiTheme="majorHAnsi" w:hAnsiTheme="majorHAnsi"/>
          <w:bCs/>
          <w:sz w:val="24"/>
          <w:szCs w:val="24"/>
        </w:rPr>
      </w:pPr>
      <w:r w:rsidRPr="0009687E">
        <w:rPr>
          <w:rFonts w:asciiTheme="majorHAnsi" w:hAnsiTheme="majorHAnsi"/>
          <w:bCs/>
          <w:sz w:val="24"/>
          <w:szCs w:val="24"/>
        </w:rPr>
        <w:t>By following this training and implementation plan, organizations can effectively introduce Dynamic Value Networks (DVN) theory into their operations, foster a culture of collaboration and innovation, and drive sustainable value creation in the networked economy.</w:t>
      </w:r>
      <w:r w:rsidRPr="0009687E">
        <w:rPr>
          <w:rFonts w:asciiTheme="majorHAnsi" w:eastAsia="Times New Roman" w:hAnsiTheme="majorHAnsi" w:cs="Times New Roman"/>
          <w:bCs/>
          <w:sz w:val="24"/>
          <w:szCs w:val="24"/>
        </w:rPr>
        <w:t xml:space="preserve"> </w:t>
      </w:r>
    </w:p>
    <w:p w14:paraId="17CCF63E" w14:textId="77777777" w:rsidR="000D4A65" w:rsidRPr="0009687E" w:rsidRDefault="000D4A65" w:rsidP="000D4A65">
      <w:pPr>
        <w:spacing w:after="156"/>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2D0F564E" w14:textId="77777777" w:rsidR="000D4A65" w:rsidRPr="0009687E" w:rsidRDefault="000D4A65" w:rsidP="000D4A65">
      <w:pPr>
        <w:spacing w:after="360"/>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406EC780" w14:textId="77777777" w:rsidR="000D4A65" w:rsidRPr="0009687E" w:rsidRDefault="000D4A65" w:rsidP="000D4A65">
      <w:pPr>
        <w:pStyle w:val="Heading1"/>
        <w:ind w:left="-5"/>
        <w:rPr>
          <w:bCs/>
          <w:sz w:val="24"/>
          <w:szCs w:val="24"/>
        </w:rPr>
      </w:pPr>
      <w:bookmarkStart w:id="209" w:name="_Toc168210256"/>
      <w:bookmarkStart w:id="210" w:name="_Toc168210412"/>
      <w:bookmarkStart w:id="211" w:name="_Toc44665"/>
      <w:r w:rsidRPr="0009687E">
        <w:rPr>
          <w:bCs/>
          <w:sz w:val="24"/>
          <w:szCs w:val="24"/>
        </w:rPr>
        <w:t>Keywords for Dynamic Value Networks (DVN) Theory:</w:t>
      </w:r>
      <w:bookmarkEnd w:id="209"/>
      <w:bookmarkEnd w:id="210"/>
      <w:r w:rsidRPr="0009687E">
        <w:rPr>
          <w:rFonts w:eastAsia="Times New Roman" w:cs="Times New Roman"/>
          <w:bCs/>
          <w:sz w:val="24"/>
          <w:szCs w:val="24"/>
        </w:rPr>
        <w:t xml:space="preserve"> </w:t>
      </w:r>
      <w:bookmarkEnd w:id="211"/>
    </w:p>
    <w:p w14:paraId="5364129E" w14:textId="0FA4F1D2" w:rsidR="000D4A65" w:rsidRPr="0009687E" w:rsidRDefault="00697FAD" w:rsidP="000D4A65">
      <w:pPr>
        <w:spacing w:after="156"/>
        <w:rPr>
          <w:rFonts w:asciiTheme="majorHAnsi" w:hAnsiTheme="majorHAnsi"/>
          <w:bCs/>
          <w:sz w:val="24"/>
          <w:szCs w:val="24"/>
        </w:rPr>
      </w:pPr>
      <w:r w:rsidRPr="0009687E">
        <w:rPr>
          <w:rFonts w:asciiTheme="majorHAnsi" w:hAnsiTheme="majorHAnsi" w:cs="Segoe UI"/>
          <w:bCs/>
          <w:color w:val="0D0D0D"/>
          <w:sz w:val="24"/>
          <w:szCs w:val="24"/>
          <w:shd w:val="clear" w:color="auto" w:fill="FFFFFF"/>
        </w:rPr>
        <w:t xml:space="preserve">Dynamic Value Networks, Value Creation, Collaboration, Network Effects, Interconnected Ecosystems, Co-Creation, Innovation Networks, Stakeholder Collaboration, Network Orchestration, Digital Transformation, </w:t>
      </w:r>
      <w:proofErr w:type="spellStart"/>
      <w:r w:rsidRPr="0009687E">
        <w:rPr>
          <w:rFonts w:asciiTheme="majorHAnsi" w:hAnsiTheme="majorHAnsi" w:cs="Segoe UI"/>
          <w:bCs/>
          <w:color w:val="0D0D0D"/>
          <w:sz w:val="24"/>
          <w:szCs w:val="24"/>
          <w:shd w:val="clear" w:color="auto" w:fill="FFFFFF"/>
        </w:rPr>
        <w:t>Platformization</w:t>
      </w:r>
      <w:proofErr w:type="spellEnd"/>
      <w:r w:rsidRPr="0009687E">
        <w:rPr>
          <w:rFonts w:asciiTheme="majorHAnsi" w:hAnsiTheme="majorHAnsi" w:cs="Segoe UI"/>
          <w:bCs/>
          <w:color w:val="0D0D0D"/>
          <w:sz w:val="24"/>
          <w:szCs w:val="24"/>
          <w:shd w:val="clear" w:color="auto" w:fill="FFFFFF"/>
        </w:rPr>
        <w:t>, Ecosystem Strategy, Supply Chain Transparency, Value Chain Evolution, Resilience, Adaptive Governance, Data Analytics, Performance Metrics, Risk Management, Ethical Governance</w:t>
      </w:r>
      <w:r w:rsidR="000D4A65" w:rsidRPr="0009687E">
        <w:rPr>
          <w:rFonts w:asciiTheme="majorHAnsi" w:eastAsia="Times New Roman" w:hAnsiTheme="majorHAnsi" w:cs="Times New Roman"/>
          <w:bCs/>
          <w:sz w:val="24"/>
          <w:szCs w:val="24"/>
        </w:rPr>
        <w:t xml:space="preserve"> </w:t>
      </w:r>
    </w:p>
    <w:p w14:paraId="412B1776" w14:textId="77777777" w:rsidR="000D4A65" w:rsidRPr="0009687E" w:rsidRDefault="000D4A65" w:rsidP="000D4A65">
      <w:pPr>
        <w:spacing w:after="360"/>
        <w:rPr>
          <w:rFonts w:asciiTheme="majorHAnsi" w:hAnsiTheme="majorHAnsi"/>
          <w:bCs/>
          <w:sz w:val="24"/>
          <w:szCs w:val="24"/>
        </w:rPr>
      </w:pPr>
      <w:r w:rsidRPr="0009687E">
        <w:rPr>
          <w:rFonts w:asciiTheme="majorHAnsi" w:eastAsia="Times New Roman" w:hAnsiTheme="majorHAnsi" w:cs="Times New Roman"/>
          <w:bCs/>
          <w:sz w:val="24"/>
          <w:szCs w:val="24"/>
        </w:rPr>
        <w:t xml:space="preserve"> </w:t>
      </w:r>
    </w:p>
    <w:p w14:paraId="338D4B4F" w14:textId="68F9BEEC" w:rsidR="000D4A65" w:rsidRPr="0009687E" w:rsidRDefault="000D4A65" w:rsidP="000D4A65">
      <w:pPr>
        <w:spacing w:after="0"/>
        <w:rPr>
          <w:rFonts w:asciiTheme="majorHAnsi" w:hAnsiTheme="majorHAnsi"/>
          <w:bCs/>
          <w:sz w:val="24"/>
          <w:szCs w:val="24"/>
        </w:rPr>
      </w:pPr>
    </w:p>
    <w:p w14:paraId="2931CC97" w14:textId="77777777" w:rsidR="005F382D" w:rsidRPr="0009687E" w:rsidRDefault="005F382D" w:rsidP="00886009">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heme="majorHAnsi" w:eastAsia="Times New Roman" w:hAnsiTheme="majorHAnsi" w:cs="Segoe UI"/>
          <w:bCs/>
          <w:color w:val="0D0D0D"/>
          <w:kern w:val="0"/>
          <w:sz w:val="24"/>
          <w:szCs w:val="24"/>
          <w14:ligatures w14:val="none"/>
        </w:rPr>
      </w:pPr>
    </w:p>
    <w:p w14:paraId="1B3B0C00" w14:textId="77777777" w:rsidR="00886009" w:rsidRPr="0009687E" w:rsidRDefault="00886009" w:rsidP="00886009">
      <w:pPr>
        <w:rPr>
          <w:rFonts w:asciiTheme="majorHAnsi" w:hAnsiTheme="majorHAnsi"/>
          <w:bCs/>
          <w:sz w:val="24"/>
          <w:szCs w:val="24"/>
        </w:rPr>
      </w:pPr>
    </w:p>
    <w:p w14:paraId="653DB497" w14:textId="623066D2" w:rsidR="00522990" w:rsidRPr="00FD7BF5" w:rsidRDefault="00522990" w:rsidP="00522990">
      <w:pPr>
        <w:pStyle w:val="Heading2"/>
        <w:rPr>
          <w:rFonts w:eastAsia="Times New Roman"/>
          <w:b/>
          <w:sz w:val="24"/>
          <w:szCs w:val="24"/>
        </w:rPr>
      </w:pPr>
      <w:bookmarkStart w:id="212" w:name="_Toc168210257"/>
      <w:bookmarkStart w:id="213" w:name="_Toc168210413"/>
      <w:r w:rsidRPr="00FD7BF5">
        <w:rPr>
          <w:rFonts w:eastAsia="Times New Roman"/>
          <w:b/>
          <w:sz w:val="24"/>
          <w:szCs w:val="24"/>
        </w:rPr>
        <w:t>Professionals in Business Journal - 2024 Q</w:t>
      </w:r>
      <w:r w:rsidR="003A45DE" w:rsidRPr="00FD7BF5">
        <w:rPr>
          <w:rFonts w:eastAsia="Times New Roman"/>
          <w:b/>
          <w:sz w:val="24"/>
          <w:szCs w:val="24"/>
        </w:rPr>
        <w:t>2</w:t>
      </w:r>
      <w:r w:rsidRPr="00FD7BF5">
        <w:rPr>
          <w:rFonts w:eastAsia="Times New Roman"/>
          <w:b/>
          <w:sz w:val="24"/>
          <w:szCs w:val="24"/>
        </w:rPr>
        <w:t xml:space="preserve">: </w:t>
      </w:r>
      <w:r w:rsidR="007358FB" w:rsidRPr="00FD7BF5">
        <w:rPr>
          <w:rFonts w:eastAsia="Times New Roman"/>
          <w:b/>
          <w:sz w:val="24"/>
          <w:szCs w:val="24"/>
        </w:rPr>
        <w:t>Issue</w:t>
      </w:r>
      <w:r w:rsidRPr="00FD7BF5">
        <w:rPr>
          <w:rFonts w:eastAsia="Times New Roman"/>
          <w:b/>
          <w:sz w:val="24"/>
          <w:szCs w:val="24"/>
        </w:rPr>
        <w:t xml:space="preserve"> </w:t>
      </w:r>
      <w:r w:rsidR="003A45DE" w:rsidRPr="00FD7BF5">
        <w:rPr>
          <w:rFonts w:eastAsia="Times New Roman"/>
          <w:b/>
          <w:sz w:val="24"/>
          <w:szCs w:val="24"/>
        </w:rPr>
        <w:t xml:space="preserve">4 (THEORIES) </w:t>
      </w:r>
      <w:r w:rsidRPr="00FD7BF5">
        <w:rPr>
          <w:rFonts w:eastAsia="Times New Roman"/>
          <w:b/>
          <w:sz w:val="24"/>
          <w:szCs w:val="24"/>
        </w:rPr>
        <w:t>Wrap up.</w:t>
      </w:r>
      <w:bookmarkEnd w:id="13"/>
      <w:bookmarkEnd w:id="212"/>
      <w:bookmarkEnd w:id="213"/>
    </w:p>
    <w:p w14:paraId="4FE41028" w14:textId="7D9F8CE5" w:rsidR="003A45DE" w:rsidRPr="00FD7BF5" w:rsidRDefault="007A4A00" w:rsidP="003A45DE">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b/>
          <w:bCs/>
          <w:color w:val="0D0D0D"/>
          <w:sz w:val="30"/>
          <w:szCs w:val="30"/>
        </w:rPr>
      </w:pPr>
      <w:r w:rsidRPr="0009687E">
        <w:rPr>
          <w:rFonts w:asciiTheme="majorHAnsi" w:eastAsia="Times New Roman" w:hAnsiTheme="majorHAnsi" w:cs="Segoe UI"/>
          <w:bCs/>
          <w:color w:val="0D0D0D"/>
          <w:kern w:val="0"/>
          <w:sz w:val="24"/>
          <w:szCs w:val="24"/>
          <w14:ligatures w14:val="none"/>
        </w:rPr>
        <w:br/>
      </w:r>
      <w:bookmarkStart w:id="214" w:name="_Toc168210258"/>
      <w:bookmarkStart w:id="215" w:name="_Toc168210414"/>
      <w:r w:rsidR="003A45DE" w:rsidRPr="00FD7BF5">
        <w:rPr>
          <w:rFonts w:ascii="Segoe UI" w:hAnsi="Segoe UI" w:cs="Segoe UI"/>
          <w:b/>
          <w:bCs/>
          <w:color w:val="0D0D0D"/>
          <w:sz w:val="30"/>
          <w:szCs w:val="30"/>
        </w:rPr>
        <w:t xml:space="preserve">Professionals in Business Journal - 2024 Q4: Theories </w:t>
      </w:r>
      <w:r w:rsidR="007358FB" w:rsidRPr="00FD7BF5">
        <w:rPr>
          <w:rFonts w:ascii="Segoe UI" w:hAnsi="Segoe UI" w:cs="Segoe UI"/>
          <w:b/>
          <w:bCs/>
          <w:color w:val="0D0D0D"/>
          <w:sz w:val="30"/>
          <w:szCs w:val="30"/>
        </w:rPr>
        <w:t>Issue</w:t>
      </w:r>
      <w:r w:rsidR="003A45DE" w:rsidRPr="00FD7BF5">
        <w:rPr>
          <w:rFonts w:ascii="Segoe UI" w:hAnsi="Segoe UI" w:cs="Segoe UI"/>
          <w:b/>
          <w:bCs/>
          <w:color w:val="0D0D0D"/>
          <w:sz w:val="30"/>
          <w:szCs w:val="30"/>
        </w:rPr>
        <w:t xml:space="preserve"> #4</w:t>
      </w:r>
      <w:bookmarkEnd w:id="214"/>
      <w:bookmarkEnd w:id="215"/>
    </w:p>
    <w:p w14:paraId="7B4CA97E" w14:textId="6271C7BF" w:rsidR="003A45DE" w:rsidRDefault="003A45DE" w:rsidP="003A45D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 xml:space="preserve">In the latest </w:t>
      </w:r>
      <w:r w:rsidR="007358FB">
        <w:rPr>
          <w:rFonts w:ascii="Segoe UI" w:hAnsi="Segoe UI" w:cs="Segoe UI"/>
          <w:color w:val="0D0D0D"/>
        </w:rPr>
        <w:t>Issue</w:t>
      </w:r>
      <w:r>
        <w:rPr>
          <w:rFonts w:ascii="Segoe UI" w:hAnsi="Segoe UI" w:cs="Segoe UI"/>
          <w:color w:val="0D0D0D"/>
        </w:rPr>
        <w:t xml:space="preserve"> of the Professionals in Business Journal (PIBJ) - Issue #4 for Q4 of 2024, we delve into two transformative theories essential for navigating today's complex business environment: Universal Resilience Theory and Dynamic Value Networks Theory.</w:t>
      </w:r>
    </w:p>
    <w:p w14:paraId="470F343E" w14:textId="77777777" w:rsidR="003A45DE" w:rsidRPr="00FD7BF5" w:rsidRDefault="003A45DE" w:rsidP="003A45DE">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b/>
          <w:bCs/>
          <w:color w:val="0D0D0D"/>
          <w:sz w:val="30"/>
          <w:szCs w:val="30"/>
        </w:rPr>
      </w:pPr>
      <w:bookmarkStart w:id="216" w:name="_Toc168210259"/>
      <w:bookmarkStart w:id="217" w:name="_Toc168210415"/>
      <w:r w:rsidRPr="00FD7BF5">
        <w:rPr>
          <w:rFonts w:ascii="Segoe UI" w:hAnsi="Segoe UI" w:cs="Segoe UI"/>
          <w:b/>
          <w:bCs/>
          <w:color w:val="0D0D0D"/>
          <w:sz w:val="30"/>
          <w:szCs w:val="30"/>
        </w:rPr>
        <w:t>Exploring Universal Resilience Theory</w:t>
      </w:r>
      <w:bookmarkEnd w:id="216"/>
      <w:bookmarkEnd w:id="217"/>
    </w:p>
    <w:p w14:paraId="2D5416E6" w14:textId="77777777" w:rsidR="003A45DE" w:rsidRDefault="003A45DE" w:rsidP="003A45DE">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24"/>
          <w:szCs w:val="24"/>
        </w:rPr>
      </w:pPr>
      <w:r>
        <w:rPr>
          <w:rFonts w:ascii="Segoe UI" w:hAnsi="Segoe UI" w:cs="Segoe UI"/>
          <w:color w:val="0D0D0D"/>
        </w:rPr>
        <w:t>Building Organizational Resilience</w:t>
      </w:r>
    </w:p>
    <w:p w14:paraId="0DFF505F" w14:textId="77777777" w:rsidR="003A45DE" w:rsidRDefault="003A45DE" w:rsidP="003A45D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Our contributors examine Universal Resilience Theory, focusing on how businesses can build resilience to withstand and thrive amid disruptions. Articles provide strategies for enhancing organizational adaptability and maintaining continuity in the face of challenges.</w:t>
      </w:r>
    </w:p>
    <w:p w14:paraId="16BB05AF" w14:textId="77777777" w:rsidR="003A45DE" w:rsidRDefault="003A45DE" w:rsidP="003A45DE">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Adaptive Governance</w:t>
      </w:r>
    </w:p>
    <w:p w14:paraId="1FD5D4C1" w14:textId="77777777" w:rsidR="003A45DE" w:rsidRDefault="003A45DE" w:rsidP="003A45D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Insights into adaptive governance offer frameworks for flexible decision-making processes that can quickly respond to changing circumstances, ensuring long-term sustainability.</w:t>
      </w:r>
    </w:p>
    <w:p w14:paraId="694FC335" w14:textId="77777777" w:rsidR="003A45DE" w:rsidRDefault="003A45DE" w:rsidP="003A45DE">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Risk Management and Ethical Governance</w:t>
      </w:r>
    </w:p>
    <w:p w14:paraId="3400B2F4" w14:textId="77777777" w:rsidR="003A45DE" w:rsidRDefault="003A45DE" w:rsidP="003A45D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We explore advanced risk management techniques and ethical governance, emphasizing their critical role in fostering a resilient organizational culture.</w:t>
      </w:r>
    </w:p>
    <w:p w14:paraId="19DE074C" w14:textId="77777777" w:rsidR="003A45DE" w:rsidRPr="00FD7BF5" w:rsidRDefault="003A45DE" w:rsidP="003A45DE">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b/>
          <w:bCs/>
          <w:color w:val="0D0D0D"/>
          <w:sz w:val="30"/>
          <w:szCs w:val="30"/>
        </w:rPr>
      </w:pPr>
      <w:bookmarkStart w:id="218" w:name="_Toc168210260"/>
      <w:bookmarkStart w:id="219" w:name="_Toc168210416"/>
      <w:r w:rsidRPr="00FD7BF5">
        <w:rPr>
          <w:rFonts w:ascii="Segoe UI" w:hAnsi="Segoe UI" w:cs="Segoe UI"/>
          <w:b/>
          <w:bCs/>
          <w:color w:val="0D0D0D"/>
          <w:sz w:val="30"/>
          <w:szCs w:val="30"/>
        </w:rPr>
        <w:t>Understanding Dynamic Value Networks Theory</w:t>
      </w:r>
      <w:bookmarkEnd w:id="218"/>
      <w:bookmarkEnd w:id="219"/>
    </w:p>
    <w:p w14:paraId="75CA9B1D" w14:textId="77777777" w:rsidR="003A45DE" w:rsidRDefault="003A45DE" w:rsidP="003A45DE">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24"/>
          <w:szCs w:val="24"/>
        </w:rPr>
      </w:pPr>
      <w:r>
        <w:rPr>
          <w:rFonts w:ascii="Segoe UI" w:hAnsi="Segoe UI" w:cs="Segoe UI"/>
          <w:color w:val="0D0D0D"/>
        </w:rPr>
        <w:t>Value Creation and Network Effects</w:t>
      </w:r>
    </w:p>
    <w:p w14:paraId="78ADA3B0" w14:textId="77777777" w:rsidR="003A45DE" w:rsidRDefault="003A45DE" w:rsidP="003A45D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Dynamic Value Networks Theory is explored through the lens of value creation and network effects. Articles discuss how businesses can leverage interconnected ecosystems to drive innovation and maximize value.</w:t>
      </w:r>
    </w:p>
    <w:p w14:paraId="386D9664" w14:textId="77777777" w:rsidR="003A45DE" w:rsidRDefault="003A45DE" w:rsidP="003A45DE">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Collaboration and Co-Creation</w:t>
      </w:r>
    </w:p>
    <w:p w14:paraId="5F2F531E" w14:textId="77777777" w:rsidR="003A45DE" w:rsidRDefault="003A45DE" w:rsidP="003A45D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Collaboration and co-creation are highlighted as essential components of dynamic value networks. Contributors share best practices for fostering effective stakeholder collaboration and achieving mutual benefits.</w:t>
      </w:r>
    </w:p>
    <w:p w14:paraId="3594891B" w14:textId="77777777" w:rsidR="003A45DE" w:rsidRDefault="003A45DE" w:rsidP="003A45DE">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Network Orchestration and Digital Transformation</w:t>
      </w:r>
    </w:p>
    <w:p w14:paraId="1E5C972B" w14:textId="77777777" w:rsidR="003A45DE" w:rsidRDefault="003A45DE" w:rsidP="003A45D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 xml:space="preserve">We delve into network orchestration, showcasing how businesses can strategically manage and optimize their networks. Additionally, the impact of digital transformation on dynamic value networks is analyzed, providing insights into </w:t>
      </w:r>
      <w:proofErr w:type="spellStart"/>
      <w:r>
        <w:rPr>
          <w:rFonts w:ascii="Segoe UI" w:hAnsi="Segoe UI" w:cs="Segoe UI"/>
          <w:color w:val="0D0D0D"/>
        </w:rPr>
        <w:t>platformization</w:t>
      </w:r>
      <w:proofErr w:type="spellEnd"/>
      <w:r>
        <w:rPr>
          <w:rFonts w:ascii="Segoe UI" w:hAnsi="Segoe UI" w:cs="Segoe UI"/>
          <w:color w:val="0D0D0D"/>
        </w:rPr>
        <w:t xml:space="preserve"> and ecosystem strategy.</w:t>
      </w:r>
    </w:p>
    <w:p w14:paraId="280DD3CA" w14:textId="77777777" w:rsidR="003A45DE" w:rsidRPr="00FD7BF5" w:rsidRDefault="003A45DE" w:rsidP="003A45DE">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b/>
          <w:bCs/>
          <w:color w:val="0D0D0D"/>
          <w:sz w:val="30"/>
          <w:szCs w:val="30"/>
        </w:rPr>
      </w:pPr>
      <w:bookmarkStart w:id="220" w:name="_Toc168210261"/>
      <w:bookmarkStart w:id="221" w:name="_Toc168210417"/>
      <w:r w:rsidRPr="00FD7BF5">
        <w:rPr>
          <w:rFonts w:ascii="Segoe UI" w:hAnsi="Segoe UI" w:cs="Segoe UI"/>
          <w:b/>
          <w:bCs/>
          <w:color w:val="0D0D0D"/>
          <w:sz w:val="30"/>
          <w:szCs w:val="30"/>
        </w:rPr>
        <w:t>Supporting LAPPSE Memorial Fund</w:t>
      </w:r>
      <w:bookmarkEnd w:id="220"/>
      <w:bookmarkEnd w:id="221"/>
    </w:p>
    <w:p w14:paraId="3582C2C7" w14:textId="77777777" w:rsidR="003A45DE" w:rsidRDefault="003A45DE" w:rsidP="003A45D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We continue to support LAPPSE - the Lorraine Ann Pirro Public School Endowment - memorial fund. Contributions to this fund are vital for ensuring a brighter future for students in need. To contribute, visit LAPPSE Memorial Fund.</w:t>
      </w:r>
    </w:p>
    <w:p w14:paraId="74771053" w14:textId="77777777" w:rsidR="003A45DE" w:rsidRPr="00FD7BF5" w:rsidRDefault="003A45DE" w:rsidP="003A45DE">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b/>
          <w:bCs/>
          <w:color w:val="0D0D0D"/>
          <w:sz w:val="30"/>
          <w:szCs w:val="30"/>
        </w:rPr>
      </w:pPr>
      <w:bookmarkStart w:id="222" w:name="_Toc168210262"/>
      <w:bookmarkStart w:id="223" w:name="_Toc168210418"/>
      <w:r w:rsidRPr="00FD7BF5">
        <w:rPr>
          <w:rFonts w:ascii="Segoe UI" w:hAnsi="Segoe UI" w:cs="Segoe UI"/>
          <w:b/>
          <w:bCs/>
          <w:color w:val="0D0D0D"/>
          <w:sz w:val="30"/>
          <w:szCs w:val="30"/>
        </w:rPr>
        <w:t>Stay Connected</w:t>
      </w:r>
      <w:bookmarkEnd w:id="222"/>
      <w:bookmarkEnd w:id="223"/>
    </w:p>
    <w:p w14:paraId="16BA3DA9" w14:textId="67EC1941" w:rsidR="003A45DE" w:rsidRDefault="003A45DE" w:rsidP="003A45D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 xml:space="preserve">Stay connected with PIBJ on social media to stay informed about future </w:t>
      </w:r>
      <w:r w:rsidR="007358FB">
        <w:rPr>
          <w:rFonts w:ascii="Segoe UI" w:hAnsi="Segoe UI" w:cs="Segoe UI"/>
          <w:color w:val="0D0D0D"/>
        </w:rPr>
        <w:t>Issue</w:t>
      </w:r>
      <w:r>
        <w:rPr>
          <w:rFonts w:ascii="Segoe UI" w:hAnsi="Segoe UI" w:cs="Segoe UI"/>
          <w:color w:val="0D0D0D"/>
        </w:rPr>
        <w:t>s and exciting developments. Follow us on LinkedIn, Facebook, TikTok, and X (formerly Twitter) for updates and discussions.</w:t>
      </w:r>
    </w:p>
    <w:p w14:paraId="01DC3977" w14:textId="69FAFDDE" w:rsidR="003A45DE" w:rsidRPr="00FD7BF5" w:rsidRDefault="00FD7BF5" w:rsidP="003A45DE">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b/>
          <w:bCs/>
          <w:color w:val="0D0D0D"/>
          <w:sz w:val="30"/>
          <w:szCs w:val="30"/>
        </w:rPr>
      </w:pPr>
      <w:bookmarkStart w:id="224" w:name="_Toc168210263"/>
      <w:bookmarkStart w:id="225" w:name="_Toc168210419"/>
      <w:r w:rsidRPr="00FD7BF5">
        <w:rPr>
          <w:rFonts w:ascii="Segoe UI" w:hAnsi="Segoe UI" w:cs="Segoe UI"/>
          <w:b/>
          <w:bCs/>
          <w:color w:val="0D0D0D"/>
          <w:sz w:val="30"/>
          <w:szCs w:val="30"/>
        </w:rPr>
        <w:t>End Note</w:t>
      </w:r>
      <w:bookmarkEnd w:id="224"/>
      <w:bookmarkEnd w:id="225"/>
    </w:p>
    <w:p w14:paraId="10A3B7F9" w14:textId="77777777" w:rsidR="003A45DE" w:rsidRDefault="003A45DE" w:rsidP="003A45D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sidRPr="00717E6E">
        <w:rPr>
          <w:rFonts w:ascii="Segoe UI" w:hAnsi="Segoe UI" w:cs="Segoe UI"/>
          <w:b/>
          <w:bCs/>
          <w:color w:val="F79109"/>
        </w:rPr>
        <w:t>Thank you for being part of the Professionals in Business Journal community.</w:t>
      </w:r>
      <w:r w:rsidRPr="00717E6E">
        <w:rPr>
          <w:rFonts w:ascii="Segoe UI" w:hAnsi="Segoe UI" w:cs="Segoe UI"/>
          <w:color w:val="F79109"/>
        </w:rPr>
        <w:t xml:space="preserve"> </w:t>
      </w:r>
      <w:r>
        <w:rPr>
          <w:rFonts w:ascii="Segoe UI" w:hAnsi="Segoe UI" w:cs="Segoe UI"/>
          <w:color w:val="0D0D0D"/>
        </w:rPr>
        <w:t>Let's continue navigating the ever-evolving landscape of business with dedication and passion.</w:t>
      </w:r>
    </w:p>
    <w:p w14:paraId="30A8ED31" w14:textId="47908A32" w:rsidR="00553A17" w:rsidRDefault="00553A17" w:rsidP="00553A17">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Furthermore, the journal invites you to support LAPPSE - Lorraine Ann Pirro Public School Endowment - memorial fund. Contributions to this fund are vital in ensuring a brighter future for students in need. Every donation, no matter the size, directly impacts the remarkable legacy of an educator and mother. To contribute, please visit the LAPPSE Memorial Fund.</w:t>
      </w:r>
    </w:p>
    <w:p w14:paraId="5BA032BC" w14:textId="5D6BCEF6" w:rsidR="00553A17" w:rsidRDefault="00553A17" w:rsidP="00553A1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 xml:space="preserve">Additionally, the PIBJ team encourages readers to stay connected on social media to stay informed about future </w:t>
      </w:r>
      <w:r w:rsidR="007358FB">
        <w:rPr>
          <w:rFonts w:ascii="Segoe UI" w:hAnsi="Segoe UI" w:cs="Segoe UI"/>
          <w:color w:val="0D0D0D"/>
        </w:rPr>
        <w:t>Issue</w:t>
      </w:r>
      <w:r>
        <w:rPr>
          <w:rFonts w:ascii="Segoe UI" w:hAnsi="Segoe UI" w:cs="Segoe UI"/>
          <w:color w:val="0D0D0D"/>
        </w:rPr>
        <w:t>s and exciting developments. Follow us on LinkedIn, Facebook, TikTok, and X (formerly Twitter) to keep up with upcoming publications and relevant discussions.</w:t>
      </w:r>
    </w:p>
    <w:p w14:paraId="5582DDAA" w14:textId="77777777" w:rsidR="002442DD" w:rsidRDefault="002442DD" w:rsidP="002442DD">
      <w:r>
        <w:t>PyrrhicPress.Org</w:t>
      </w:r>
    </w:p>
    <w:p w14:paraId="6BA7F155" w14:textId="2A062DEB" w:rsidR="002442DD" w:rsidRDefault="001D5681" w:rsidP="002442DD">
      <w:hyperlink r:id="rId16" w:history="1">
        <w:r w:rsidR="002442DD" w:rsidRPr="00ED46AA">
          <w:rPr>
            <w:rStyle w:val="Hyperlink"/>
          </w:rPr>
          <w:t>https://www.pyrrhicpress.org</w:t>
        </w:r>
      </w:hyperlink>
    </w:p>
    <w:p w14:paraId="4D6F9E10" w14:textId="77777777" w:rsidR="002442DD" w:rsidRDefault="002442DD" w:rsidP="002442DD">
      <w:proofErr w:type="spellStart"/>
      <w:r>
        <w:t>Linkedin</w:t>
      </w:r>
      <w:proofErr w:type="spellEnd"/>
    </w:p>
    <w:p w14:paraId="4E0FA6DA" w14:textId="4F276927" w:rsidR="002442DD" w:rsidRDefault="001D5681" w:rsidP="002442DD">
      <w:hyperlink r:id="rId17" w:history="1">
        <w:r w:rsidR="002442DD" w:rsidRPr="00ED46AA">
          <w:rPr>
            <w:rStyle w:val="Hyperlink"/>
          </w:rPr>
          <w:t>http://www.linkedin.com/in/nicholasjpirro</w:t>
        </w:r>
      </w:hyperlink>
    </w:p>
    <w:p w14:paraId="3064BB8C" w14:textId="77777777" w:rsidR="002442DD" w:rsidRDefault="002442DD" w:rsidP="002442DD"/>
    <w:p w14:paraId="4980C745" w14:textId="77777777" w:rsidR="002442DD" w:rsidRDefault="002442DD" w:rsidP="002442DD">
      <w:r>
        <w:t>Facebook</w:t>
      </w:r>
    </w:p>
    <w:p w14:paraId="6C69863E" w14:textId="77777777" w:rsidR="002442DD" w:rsidRDefault="002442DD" w:rsidP="002442DD">
      <w:r>
        <w:t>https://www.facebook.com/people/PyrrhicPressOrg/61556549942357/</w:t>
      </w:r>
    </w:p>
    <w:p w14:paraId="274FF31C" w14:textId="77777777" w:rsidR="002442DD" w:rsidRDefault="002442DD" w:rsidP="002442DD">
      <w:r>
        <w:t>TikTok</w:t>
      </w:r>
    </w:p>
    <w:p w14:paraId="43400D51" w14:textId="65F0E899" w:rsidR="002442DD" w:rsidRDefault="001D5681" w:rsidP="002442DD">
      <w:hyperlink r:id="rId18" w:history="1">
        <w:r w:rsidR="002442DD" w:rsidRPr="00ED46AA">
          <w:rPr>
            <w:rStyle w:val="Hyperlink"/>
          </w:rPr>
          <w:t>https://www.tiktok.com/@pyrrhicpress.org</w:t>
        </w:r>
      </w:hyperlink>
    </w:p>
    <w:p w14:paraId="2465231D" w14:textId="77777777" w:rsidR="002442DD" w:rsidRDefault="002442DD" w:rsidP="002442DD">
      <w:r>
        <w:t>X (Formerly Twitter)</w:t>
      </w:r>
    </w:p>
    <w:p w14:paraId="5700E806" w14:textId="3C351558" w:rsidR="002442DD" w:rsidRDefault="001D5681" w:rsidP="002442DD">
      <w:pPr>
        <w:rPr>
          <w:rStyle w:val="Hyperlink"/>
        </w:rPr>
      </w:pPr>
      <w:hyperlink r:id="rId19" w:history="1">
        <w:r w:rsidR="002442DD" w:rsidRPr="00ED46AA">
          <w:rPr>
            <w:rStyle w:val="Hyperlink"/>
          </w:rPr>
          <w:t>https://twitter.com/PyrrhicPress</w:t>
        </w:r>
      </w:hyperlink>
    </w:p>
    <w:p w14:paraId="51C685DF" w14:textId="77777777" w:rsidR="00720C0A" w:rsidRDefault="00720C0A" w:rsidP="00720C0A">
      <w:pPr>
        <w:pStyle w:val="NormalWeb"/>
        <w:shd w:val="clear" w:color="auto" w:fill="FFFFFF"/>
        <w:spacing w:before="0" w:beforeAutospacing="0" w:after="0" w:afterAutospacing="0"/>
        <w:rPr>
          <w:rFonts w:ascii="Calibri" w:hAnsi="Calibri" w:cs="Calibri"/>
          <w:color w:val="737373"/>
          <w:sz w:val="23"/>
          <w:szCs w:val="23"/>
        </w:rPr>
      </w:pPr>
      <w:r>
        <w:rPr>
          <w:rStyle w:val="Strong"/>
          <w:rFonts w:ascii="Calibri" w:eastAsiaTheme="majorEastAsia" w:hAnsi="Calibri" w:cs="Calibri"/>
          <w:color w:val="737373"/>
          <w:sz w:val="23"/>
          <w:szCs w:val="23"/>
        </w:rPr>
        <w:t>PIBJ and all Journal Entries are CC0- Open Access</w:t>
      </w:r>
    </w:p>
    <w:p w14:paraId="480A8D75" w14:textId="50FEE0F8" w:rsidR="00720C0A" w:rsidRDefault="00720C0A" w:rsidP="00720C0A">
      <w:pPr>
        <w:shd w:val="clear" w:color="auto" w:fill="FFFFFF"/>
        <w:spacing w:line="0" w:lineRule="auto"/>
        <w:rPr>
          <w:rFonts w:ascii="Calibri" w:hAnsi="Calibri" w:cs="Calibri"/>
          <w:color w:val="737373"/>
          <w:sz w:val="23"/>
          <w:szCs w:val="23"/>
        </w:rPr>
      </w:pPr>
      <w:r>
        <w:rPr>
          <w:rFonts w:ascii="Calibri" w:hAnsi="Calibri" w:cs="Calibri"/>
          <w:noProof/>
          <w:color w:val="737373"/>
          <w:sz w:val="23"/>
          <w:szCs w:val="23"/>
        </w:rPr>
        <w:drawing>
          <wp:inline distT="0" distB="0" distL="0" distR="0" wp14:anchorId="16979D73" wp14:editId="5D096368">
            <wp:extent cx="1418590" cy="715010"/>
            <wp:effectExtent l="0" t="0" r="0" b="8890"/>
            <wp:docPr id="391903927" name="Picture 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03927" name="Picture 9" descr="A blue and white logo&#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8590" cy="715010"/>
                    </a:xfrm>
                    <a:prstGeom prst="rect">
                      <a:avLst/>
                    </a:prstGeom>
                    <a:noFill/>
                    <a:ln>
                      <a:noFill/>
                    </a:ln>
                  </pic:spPr>
                </pic:pic>
              </a:graphicData>
            </a:graphic>
          </wp:inline>
        </w:drawing>
      </w:r>
    </w:p>
    <w:p w14:paraId="57E1AC5A" w14:textId="77777777" w:rsidR="00720C0A" w:rsidRDefault="001D5681" w:rsidP="00720C0A">
      <w:pPr>
        <w:pStyle w:val="NormalWeb"/>
        <w:shd w:val="clear" w:color="auto" w:fill="FFFFFF"/>
        <w:spacing w:before="0" w:beforeAutospacing="0" w:after="0" w:afterAutospacing="0"/>
        <w:rPr>
          <w:rFonts w:ascii="Calibri" w:hAnsi="Calibri" w:cs="Calibri"/>
          <w:color w:val="737373"/>
          <w:sz w:val="23"/>
          <w:szCs w:val="23"/>
        </w:rPr>
      </w:pPr>
      <w:hyperlink r:id="rId21" w:tgtFrame="_blank" w:history="1">
        <w:r w:rsidR="00720C0A">
          <w:rPr>
            <w:rStyle w:val="Hyperlink"/>
            <w:rFonts w:ascii="Calibri" w:eastAsiaTheme="majorEastAsia" w:hAnsi="Calibri" w:cs="Calibri"/>
            <w:b/>
            <w:bCs/>
            <w:color w:val="FE633B"/>
            <w:sz w:val="23"/>
            <w:szCs w:val="23"/>
          </w:rPr>
          <w:t xml:space="preserve">Our exclusive work is cataloged, DOI through </w:t>
        </w:r>
        <w:proofErr w:type="spellStart"/>
        <w:r w:rsidR="00720C0A">
          <w:rPr>
            <w:rStyle w:val="Hyperlink"/>
            <w:rFonts w:ascii="Calibri" w:eastAsiaTheme="majorEastAsia" w:hAnsi="Calibri" w:cs="Calibri"/>
            <w:b/>
            <w:bCs/>
            <w:color w:val="FE633B"/>
            <w:sz w:val="23"/>
            <w:szCs w:val="23"/>
          </w:rPr>
          <w:t>Zenodo</w:t>
        </w:r>
        <w:proofErr w:type="spellEnd"/>
      </w:hyperlink>
    </w:p>
    <w:p w14:paraId="079DD34A" w14:textId="36763459" w:rsidR="00720C0A" w:rsidRDefault="00720C0A" w:rsidP="00720C0A">
      <w:pPr>
        <w:shd w:val="clear" w:color="auto" w:fill="FFFFFF"/>
        <w:spacing w:line="0" w:lineRule="auto"/>
        <w:rPr>
          <w:rFonts w:ascii="Calibri" w:hAnsi="Calibri" w:cs="Calibri"/>
          <w:color w:val="737373"/>
          <w:sz w:val="23"/>
          <w:szCs w:val="23"/>
        </w:rPr>
      </w:pPr>
      <w:r>
        <w:rPr>
          <w:rFonts w:ascii="Calibri" w:hAnsi="Calibri" w:cs="Calibri"/>
          <w:noProof/>
          <w:color w:val="FE633B"/>
          <w:sz w:val="23"/>
          <w:szCs w:val="23"/>
        </w:rPr>
        <w:drawing>
          <wp:inline distT="0" distB="0" distL="0" distR="0" wp14:anchorId="51800597" wp14:editId="4C377A67">
            <wp:extent cx="1446530" cy="498475"/>
            <wp:effectExtent l="0" t="0" r="1270" b="0"/>
            <wp:docPr id="1700735177" name="Picture 8" descr="A grey and white logo&#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35177" name="Picture 8" descr="A grey and white logo&#10;&#10;Description automatically generated">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6530" cy="498475"/>
                    </a:xfrm>
                    <a:prstGeom prst="rect">
                      <a:avLst/>
                    </a:prstGeom>
                    <a:noFill/>
                    <a:ln>
                      <a:noFill/>
                    </a:ln>
                  </pic:spPr>
                </pic:pic>
              </a:graphicData>
            </a:graphic>
          </wp:inline>
        </w:drawing>
      </w:r>
    </w:p>
    <w:p w14:paraId="4CBF6226" w14:textId="77777777" w:rsidR="00720C0A" w:rsidRDefault="001D5681" w:rsidP="00720C0A">
      <w:pPr>
        <w:pStyle w:val="NormalWeb"/>
        <w:shd w:val="clear" w:color="auto" w:fill="FFFFFF"/>
        <w:spacing w:before="0" w:beforeAutospacing="0" w:after="0" w:afterAutospacing="0"/>
        <w:rPr>
          <w:rFonts w:ascii="Calibri" w:hAnsi="Calibri" w:cs="Calibri"/>
          <w:color w:val="737373"/>
          <w:sz w:val="23"/>
          <w:szCs w:val="23"/>
        </w:rPr>
      </w:pPr>
      <w:hyperlink r:id="rId24" w:tgtFrame="_blank" w:history="1">
        <w:r w:rsidR="00720C0A">
          <w:rPr>
            <w:rStyle w:val="Hyperlink"/>
            <w:rFonts w:ascii="Calibri" w:eastAsiaTheme="majorEastAsia" w:hAnsi="Calibri" w:cs="Calibri"/>
            <w:b/>
            <w:bCs/>
            <w:color w:val="FE633B"/>
            <w:sz w:val="23"/>
            <w:szCs w:val="23"/>
          </w:rPr>
          <w:t>ORCID# 0009-0003-0818-5054</w:t>
        </w:r>
      </w:hyperlink>
    </w:p>
    <w:p w14:paraId="159A8B25" w14:textId="77777777" w:rsidR="000376F0" w:rsidRDefault="000376F0" w:rsidP="00720C0A">
      <w:pPr>
        <w:pStyle w:val="NormalWeb"/>
        <w:shd w:val="clear" w:color="auto" w:fill="FFFFFF"/>
        <w:spacing w:before="0" w:beforeAutospacing="0" w:after="0" w:afterAutospacing="0"/>
        <w:rPr>
          <w:rFonts w:ascii="Calibri" w:hAnsi="Calibri" w:cs="Calibri"/>
          <w:color w:val="737373"/>
          <w:sz w:val="23"/>
          <w:szCs w:val="23"/>
        </w:rPr>
      </w:pPr>
    </w:p>
    <w:p w14:paraId="07CAB93D" w14:textId="2742123E" w:rsidR="00720C0A" w:rsidRDefault="00720C0A" w:rsidP="00720C0A">
      <w:pPr>
        <w:shd w:val="clear" w:color="auto" w:fill="FFFFFF"/>
        <w:spacing w:line="0" w:lineRule="auto"/>
        <w:rPr>
          <w:rFonts w:ascii="Calibri" w:hAnsi="Calibri" w:cs="Calibri"/>
          <w:color w:val="737373"/>
          <w:sz w:val="23"/>
          <w:szCs w:val="23"/>
        </w:rPr>
      </w:pPr>
      <w:r>
        <w:rPr>
          <w:rFonts w:ascii="Calibri" w:hAnsi="Calibri" w:cs="Calibri"/>
          <w:noProof/>
          <w:color w:val="737373"/>
          <w:sz w:val="23"/>
          <w:szCs w:val="23"/>
        </w:rPr>
        <w:drawing>
          <wp:inline distT="0" distB="0" distL="0" distR="0" wp14:anchorId="780B1572" wp14:editId="16CBB573">
            <wp:extent cx="1485265" cy="371475"/>
            <wp:effectExtent l="0" t="0" r="3810" b="1270"/>
            <wp:docPr id="7926495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85265" cy="371475"/>
                    </a:xfrm>
                    <a:prstGeom prst="rect">
                      <a:avLst/>
                    </a:prstGeom>
                    <a:noFill/>
                    <a:ln>
                      <a:noFill/>
                    </a:ln>
                  </pic:spPr>
                </pic:pic>
              </a:graphicData>
            </a:graphic>
          </wp:inline>
        </w:drawing>
      </w:r>
    </w:p>
    <w:p w14:paraId="073116E8" w14:textId="77777777" w:rsidR="00720C0A" w:rsidRDefault="001D5681" w:rsidP="00720C0A">
      <w:pPr>
        <w:pStyle w:val="NormalWeb"/>
        <w:shd w:val="clear" w:color="auto" w:fill="FFFFFF"/>
        <w:spacing w:before="0" w:beforeAutospacing="0" w:after="0" w:afterAutospacing="0"/>
        <w:rPr>
          <w:rFonts w:ascii="Calibri" w:hAnsi="Calibri" w:cs="Calibri"/>
          <w:color w:val="737373"/>
          <w:sz w:val="23"/>
          <w:szCs w:val="23"/>
        </w:rPr>
      </w:pPr>
      <w:hyperlink r:id="rId26" w:tgtFrame="_blank" w:history="1">
        <w:r w:rsidR="00720C0A">
          <w:rPr>
            <w:rStyle w:val="Strong"/>
            <w:rFonts w:ascii="Calibri" w:eastAsiaTheme="majorEastAsia" w:hAnsi="Calibri" w:cs="Calibri"/>
            <w:color w:val="FE633B"/>
            <w:sz w:val="23"/>
            <w:szCs w:val="23"/>
            <w:u w:val="single"/>
          </w:rPr>
          <w:t>SSRN Author ID: 6568487 </w:t>
        </w:r>
      </w:hyperlink>
    </w:p>
    <w:p w14:paraId="0148692C" w14:textId="3FB6463E" w:rsidR="00720C0A" w:rsidRDefault="00720C0A" w:rsidP="00720C0A">
      <w:pPr>
        <w:shd w:val="clear" w:color="auto" w:fill="FFFFFF"/>
        <w:spacing w:line="0" w:lineRule="auto"/>
        <w:rPr>
          <w:rFonts w:ascii="Calibri" w:hAnsi="Calibri" w:cs="Calibri"/>
          <w:color w:val="737373"/>
          <w:sz w:val="23"/>
          <w:szCs w:val="23"/>
        </w:rPr>
      </w:pPr>
      <w:r>
        <w:rPr>
          <w:rFonts w:ascii="Calibri" w:hAnsi="Calibri" w:cs="Calibri"/>
          <w:noProof/>
          <w:color w:val="737373"/>
          <w:sz w:val="23"/>
          <w:szCs w:val="23"/>
        </w:rPr>
        <w:drawing>
          <wp:inline distT="0" distB="0" distL="0" distR="0" wp14:anchorId="5C42A0F6" wp14:editId="7855B5D8">
            <wp:extent cx="1473835" cy="875665"/>
            <wp:effectExtent l="0" t="0" r="0" b="635"/>
            <wp:docPr id="194022296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222965" name="Picture 5" descr="A blue and black logo&#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3835" cy="875665"/>
                    </a:xfrm>
                    <a:prstGeom prst="rect">
                      <a:avLst/>
                    </a:prstGeom>
                    <a:noFill/>
                    <a:ln>
                      <a:noFill/>
                    </a:ln>
                  </pic:spPr>
                </pic:pic>
              </a:graphicData>
            </a:graphic>
          </wp:inline>
        </w:drawing>
      </w:r>
    </w:p>
    <w:p w14:paraId="51F77AE0" w14:textId="77777777" w:rsidR="00720C0A" w:rsidRDefault="001D5681" w:rsidP="00720C0A">
      <w:pPr>
        <w:pStyle w:val="NormalWeb"/>
        <w:shd w:val="clear" w:color="auto" w:fill="FFFFFF"/>
        <w:spacing w:before="0" w:beforeAutospacing="0" w:after="0" w:afterAutospacing="0"/>
        <w:rPr>
          <w:rFonts w:ascii="Calibri" w:hAnsi="Calibri" w:cs="Calibri"/>
          <w:color w:val="737373"/>
          <w:sz w:val="23"/>
          <w:szCs w:val="23"/>
        </w:rPr>
      </w:pPr>
      <w:hyperlink r:id="rId28" w:tgtFrame="_blank" w:history="1">
        <w:r w:rsidR="00720C0A">
          <w:rPr>
            <w:rStyle w:val="Hyperlink"/>
            <w:rFonts w:ascii="Calibri" w:eastAsiaTheme="majorEastAsia" w:hAnsi="Calibri" w:cs="Calibri"/>
            <w:color w:val="FE633B"/>
            <w:sz w:val="23"/>
            <w:szCs w:val="23"/>
          </w:rPr>
          <w:t>https://fairsharing.org/users/10991</w:t>
        </w:r>
      </w:hyperlink>
    </w:p>
    <w:p w14:paraId="1E31BE91" w14:textId="711730E1" w:rsidR="00720C0A" w:rsidRDefault="00720C0A" w:rsidP="00720C0A">
      <w:pPr>
        <w:shd w:val="clear" w:color="auto" w:fill="FFFFFF"/>
        <w:spacing w:line="0" w:lineRule="auto"/>
        <w:rPr>
          <w:rFonts w:ascii="Calibri" w:hAnsi="Calibri" w:cs="Calibri"/>
          <w:color w:val="737373"/>
          <w:sz w:val="23"/>
          <w:szCs w:val="23"/>
        </w:rPr>
      </w:pPr>
      <w:r>
        <w:rPr>
          <w:rFonts w:ascii="Calibri" w:hAnsi="Calibri" w:cs="Calibri"/>
          <w:noProof/>
          <w:color w:val="737373"/>
          <w:sz w:val="23"/>
          <w:szCs w:val="23"/>
        </w:rPr>
        <w:drawing>
          <wp:inline distT="0" distB="0" distL="0" distR="0" wp14:anchorId="0325E299" wp14:editId="0D81087C">
            <wp:extent cx="1086485" cy="659476"/>
            <wp:effectExtent l="0" t="0" r="0" b="7620"/>
            <wp:docPr id="1393223811" name="Picture 4" descr="A logo with a cat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23811" name="Picture 4" descr="A logo with a cat head&#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2408" cy="663071"/>
                    </a:xfrm>
                    <a:prstGeom prst="rect">
                      <a:avLst/>
                    </a:prstGeom>
                    <a:noFill/>
                    <a:ln>
                      <a:noFill/>
                    </a:ln>
                  </pic:spPr>
                </pic:pic>
              </a:graphicData>
            </a:graphic>
          </wp:inline>
        </w:drawing>
      </w:r>
    </w:p>
    <w:p w14:paraId="756881C9" w14:textId="77777777" w:rsidR="00720C0A" w:rsidRDefault="001D5681" w:rsidP="00720C0A">
      <w:pPr>
        <w:pStyle w:val="NormalWeb"/>
        <w:shd w:val="clear" w:color="auto" w:fill="FFFFFF"/>
        <w:spacing w:before="0" w:beforeAutospacing="0" w:after="0" w:afterAutospacing="0"/>
        <w:rPr>
          <w:rFonts w:ascii="Calibri" w:hAnsi="Calibri" w:cs="Calibri"/>
          <w:color w:val="737373"/>
          <w:sz w:val="23"/>
          <w:szCs w:val="23"/>
        </w:rPr>
      </w:pPr>
      <w:hyperlink r:id="rId30" w:tgtFrame="_blank" w:history="1">
        <w:r w:rsidR="00720C0A">
          <w:rPr>
            <w:rStyle w:val="Hyperlink"/>
            <w:rFonts w:ascii="Calibri" w:eastAsiaTheme="majorEastAsia" w:hAnsi="Calibri" w:cs="Calibri"/>
            <w:color w:val="FE633B"/>
            <w:sz w:val="23"/>
            <w:szCs w:val="23"/>
          </w:rPr>
          <w:t>https://github.com/PyrrhicPress/PyrrhicPress</w:t>
        </w:r>
      </w:hyperlink>
    </w:p>
    <w:p w14:paraId="4547F64D" w14:textId="391AEF37" w:rsidR="00720C0A" w:rsidRDefault="00720C0A" w:rsidP="00720C0A">
      <w:pPr>
        <w:shd w:val="clear" w:color="auto" w:fill="FFFFFF"/>
        <w:spacing w:line="0" w:lineRule="auto"/>
        <w:rPr>
          <w:rFonts w:ascii="Calibri" w:hAnsi="Calibri" w:cs="Calibri"/>
          <w:color w:val="737373"/>
          <w:sz w:val="23"/>
          <w:szCs w:val="23"/>
        </w:rPr>
      </w:pPr>
      <w:r>
        <w:rPr>
          <w:rFonts w:ascii="Calibri" w:hAnsi="Calibri" w:cs="Calibri"/>
          <w:noProof/>
          <w:color w:val="737373"/>
          <w:sz w:val="23"/>
          <w:szCs w:val="23"/>
        </w:rPr>
        <w:drawing>
          <wp:inline distT="0" distB="0" distL="0" distR="0" wp14:anchorId="5F72CA44" wp14:editId="42C6005E">
            <wp:extent cx="1086485" cy="753687"/>
            <wp:effectExtent l="0" t="0" r="0" b="8890"/>
            <wp:docPr id="138668906" name="Picture 3" descr="A green circ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8906" name="Picture 3" descr="A green circle with white letter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89090" cy="755494"/>
                    </a:xfrm>
                    <a:prstGeom prst="rect">
                      <a:avLst/>
                    </a:prstGeom>
                    <a:noFill/>
                    <a:ln>
                      <a:noFill/>
                    </a:ln>
                  </pic:spPr>
                </pic:pic>
              </a:graphicData>
            </a:graphic>
          </wp:inline>
        </w:drawing>
      </w:r>
    </w:p>
    <w:p w14:paraId="74C0D298" w14:textId="77777777" w:rsidR="00720C0A" w:rsidRDefault="001D5681" w:rsidP="00720C0A">
      <w:pPr>
        <w:pStyle w:val="NormalWeb"/>
        <w:shd w:val="clear" w:color="auto" w:fill="FFFFFF"/>
        <w:spacing w:before="0" w:beforeAutospacing="0" w:after="0" w:afterAutospacing="0"/>
        <w:rPr>
          <w:rFonts w:ascii="Calibri" w:hAnsi="Calibri" w:cs="Calibri"/>
          <w:color w:val="737373"/>
          <w:sz w:val="23"/>
          <w:szCs w:val="23"/>
        </w:rPr>
      </w:pPr>
      <w:hyperlink r:id="rId32" w:tgtFrame="_blank" w:history="1">
        <w:r w:rsidR="00720C0A">
          <w:rPr>
            <w:rStyle w:val="Hyperlink"/>
            <w:rFonts w:ascii="Calibri" w:eastAsiaTheme="majorEastAsia" w:hAnsi="Calibri" w:cs="Calibri"/>
            <w:color w:val="FE633B"/>
            <w:sz w:val="23"/>
            <w:szCs w:val="23"/>
          </w:rPr>
          <w:t>https://www.researchgate.net/profile/Nicholas_Pirro</w:t>
        </w:r>
      </w:hyperlink>
    </w:p>
    <w:p w14:paraId="4ED7F042" w14:textId="77777777" w:rsidR="00720C0A" w:rsidRDefault="00720C0A" w:rsidP="002442DD"/>
    <w:p w14:paraId="51DDB84F" w14:textId="77777777" w:rsidR="002442DD" w:rsidRDefault="002442DD" w:rsidP="002442DD"/>
    <w:p w14:paraId="154364E8" w14:textId="77777777" w:rsidR="002442DD" w:rsidRDefault="002442DD" w:rsidP="00553A1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p>
    <w:p w14:paraId="2BC75082" w14:textId="0BB8FE6F" w:rsidR="00553A17" w:rsidRDefault="00553A17" w:rsidP="00553A1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Pr>
          <w:rFonts w:ascii="Segoe UI" w:hAnsi="Segoe UI" w:cs="Segoe UI"/>
          <w:color w:val="0D0D0D"/>
        </w:rPr>
        <w:t xml:space="preserve">In closing, PIBJ expresses heartfelt gratitude for the continued support of our readers. We eagerly anticipate future </w:t>
      </w:r>
      <w:r w:rsidR="007358FB">
        <w:rPr>
          <w:rFonts w:ascii="Segoe UI" w:hAnsi="Segoe UI" w:cs="Segoe UI"/>
          <w:color w:val="0D0D0D"/>
        </w:rPr>
        <w:t>Issue</w:t>
      </w:r>
      <w:r>
        <w:rPr>
          <w:rFonts w:ascii="Segoe UI" w:hAnsi="Segoe UI" w:cs="Segoe UI"/>
          <w:color w:val="0D0D0D"/>
        </w:rPr>
        <w:t>s of exploration and discovery together. With a commitment to navigating the ever-evolving landscape of business with knowledge, insight, and innovation, we invite you to reach out with inquiries or to discover how you can contribute to the next issue at Contact PIBJ.</w:t>
      </w:r>
      <w:r w:rsidR="004166D2">
        <w:rPr>
          <w:rFonts w:ascii="Segoe UI" w:hAnsi="Segoe UI" w:cs="Segoe UI"/>
          <w:color w:val="0D0D0D"/>
        </w:rPr>
        <w:t xml:space="preserve"> </w:t>
      </w:r>
      <w:hyperlink r:id="rId33" w:history="1">
        <w:r w:rsidR="004166D2" w:rsidRPr="005A2CFF">
          <w:rPr>
            <w:rStyle w:val="Hyperlink"/>
            <w:rFonts w:ascii="Segoe UI" w:hAnsi="Segoe UI" w:cs="Segoe UI"/>
          </w:rPr>
          <w:t>Editor@Pyrrhicpress.org</w:t>
        </w:r>
      </w:hyperlink>
    </w:p>
    <w:p w14:paraId="2EA7D6A9" w14:textId="77777777" w:rsidR="004166D2" w:rsidRDefault="004166D2" w:rsidP="00553A1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p>
    <w:p w14:paraId="6BFD52DC" w14:textId="77777777" w:rsidR="00772E46" w:rsidRDefault="00772E46" w:rsidP="00625B23">
      <w:pPr>
        <w:spacing w:before="240" w:after="0" w:line="240" w:lineRule="auto"/>
        <w:rPr>
          <w:rFonts w:asciiTheme="majorHAnsi" w:eastAsia="Times New Roman" w:hAnsiTheme="majorHAnsi" w:cs="Times New Roman"/>
          <w:bCs/>
          <w:color w:val="000000" w:themeColor="text1"/>
          <w:kern w:val="0"/>
          <w:sz w:val="24"/>
          <w:szCs w:val="24"/>
          <w14:ligatures w14:val="none"/>
        </w:rPr>
      </w:pPr>
    </w:p>
    <w:p w14:paraId="2F9CA88D" w14:textId="5B5C4644" w:rsidR="00553A17" w:rsidRDefault="00F72506" w:rsidP="00162DD0">
      <w:pPr>
        <w:spacing w:before="240" w:after="0" w:line="240" w:lineRule="auto"/>
        <w:jc w:val="center"/>
        <w:rPr>
          <w:rFonts w:asciiTheme="majorHAnsi" w:eastAsia="Times New Roman" w:hAnsiTheme="majorHAnsi" w:cs="Times New Roman"/>
          <w:b/>
          <w:color w:val="F79109"/>
          <w:kern w:val="0"/>
          <w:sz w:val="24"/>
          <w:szCs w:val="24"/>
          <w14:ligatures w14:val="none"/>
        </w:rPr>
      </w:pPr>
      <w:r w:rsidRPr="00D050E9">
        <w:rPr>
          <w:rFonts w:asciiTheme="majorHAnsi" w:eastAsia="Times New Roman" w:hAnsiTheme="majorHAnsi" w:cs="Times New Roman"/>
          <w:b/>
          <w:color w:val="F79109"/>
          <w:kern w:val="0"/>
          <w:sz w:val="24"/>
          <w:szCs w:val="24"/>
          <w14:ligatures w14:val="none"/>
        </w:rPr>
        <w:t xml:space="preserve">A million thanks to </w:t>
      </w:r>
      <w:proofErr w:type="gramStart"/>
      <w:r w:rsidRPr="00D050E9">
        <w:rPr>
          <w:rFonts w:asciiTheme="majorHAnsi" w:eastAsia="Times New Roman" w:hAnsiTheme="majorHAnsi" w:cs="Times New Roman"/>
          <w:b/>
          <w:color w:val="F79109"/>
          <w:kern w:val="0"/>
          <w:sz w:val="24"/>
          <w:szCs w:val="24"/>
          <w14:ligatures w14:val="none"/>
        </w:rPr>
        <w:t>all of</w:t>
      </w:r>
      <w:proofErr w:type="gramEnd"/>
      <w:r w:rsidRPr="00D050E9">
        <w:rPr>
          <w:rFonts w:asciiTheme="majorHAnsi" w:eastAsia="Times New Roman" w:hAnsiTheme="majorHAnsi" w:cs="Times New Roman"/>
          <w:b/>
          <w:color w:val="F79109"/>
          <w:kern w:val="0"/>
          <w:sz w:val="24"/>
          <w:szCs w:val="24"/>
          <w14:ligatures w14:val="none"/>
        </w:rPr>
        <w:t xml:space="preserve"> our readers and co</w:t>
      </w:r>
      <w:r w:rsidR="00E8663F" w:rsidRPr="00D050E9">
        <w:rPr>
          <w:rFonts w:asciiTheme="majorHAnsi" w:eastAsia="Times New Roman" w:hAnsiTheme="majorHAnsi" w:cs="Times New Roman"/>
          <w:b/>
          <w:color w:val="F79109"/>
          <w:kern w:val="0"/>
          <w:sz w:val="24"/>
          <w:szCs w:val="24"/>
          <w14:ligatures w14:val="none"/>
        </w:rPr>
        <w:t>ntributors! Keep learning and keep leading.</w:t>
      </w:r>
    </w:p>
    <w:p w14:paraId="1290B44B" w14:textId="240EC0A8" w:rsidR="00D050E9" w:rsidRDefault="00D050E9" w:rsidP="00162DD0">
      <w:pPr>
        <w:spacing w:before="240" w:after="0" w:line="240" w:lineRule="auto"/>
        <w:jc w:val="center"/>
        <w:rPr>
          <w:rFonts w:asciiTheme="majorHAnsi" w:eastAsia="Times New Roman" w:hAnsiTheme="majorHAnsi" w:cs="Times New Roman"/>
          <w:b/>
          <w:color w:val="F79109"/>
          <w:kern w:val="0"/>
          <w:sz w:val="24"/>
          <w:szCs w:val="24"/>
          <w14:ligatures w14:val="none"/>
        </w:rPr>
      </w:pPr>
      <w:r>
        <w:rPr>
          <w:rFonts w:asciiTheme="majorHAnsi" w:eastAsia="Times New Roman" w:hAnsiTheme="majorHAnsi" w:cs="Times New Roman"/>
          <w:b/>
          <w:noProof/>
          <w:color w:val="F79109"/>
          <w:kern w:val="0"/>
          <w:sz w:val="24"/>
          <w:szCs w:val="24"/>
        </w:rPr>
        <w:drawing>
          <wp:inline distT="0" distB="0" distL="0" distR="0" wp14:anchorId="289EB3D8" wp14:editId="6DD1FD92">
            <wp:extent cx="3810061" cy="3810061"/>
            <wp:effectExtent l="0" t="0" r="0" b="0"/>
            <wp:docPr id="255977177" name="Picture 6"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77177" name="Picture 6" descr="A logo with a black background&#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810061" cy="3810061"/>
                    </a:xfrm>
                    <a:prstGeom prst="rect">
                      <a:avLst/>
                    </a:prstGeom>
                  </pic:spPr>
                </pic:pic>
              </a:graphicData>
            </a:graphic>
          </wp:inline>
        </w:drawing>
      </w:r>
    </w:p>
    <w:p w14:paraId="5CA4C8B7" w14:textId="3D2C8F1F" w:rsidR="004C1829" w:rsidRPr="00D050E9" w:rsidRDefault="004C1829" w:rsidP="00162DD0">
      <w:pPr>
        <w:spacing w:before="240" w:after="0" w:line="240" w:lineRule="auto"/>
        <w:jc w:val="center"/>
        <w:rPr>
          <w:rFonts w:asciiTheme="majorHAnsi" w:eastAsia="Times New Roman" w:hAnsiTheme="majorHAnsi" w:cs="Times New Roman"/>
          <w:b/>
          <w:color w:val="F79109"/>
          <w:kern w:val="0"/>
          <w:sz w:val="24"/>
          <w:szCs w:val="24"/>
          <w14:ligatures w14:val="none"/>
        </w:rPr>
      </w:pPr>
      <w:r>
        <w:rPr>
          <w:rFonts w:asciiTheme="majorHAnsi" w:eastAsia="Times New Roman" w:hAnsiTheme="majorHAnsi" w:cs="Times New Roman"/>
          <w:b/>
          <w:color w:val="F79109"/>
          <w:kern w:val="0"/>
          <w:sz w:val="24"/>
          <w:szCs w:val="24"/>
          <w14:ligatures w14:val="none"/>
        </w:rPr>
        <w:t>www.pyrrhicpress.org</w:t>
      </w:r>
    </w:p>
    <w:sectPr w:rsidR="004C1829" w:rsidRPr="00D050E9">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7D977" w14:textId="77777777" w:rsidR="00123EB0" w:rsidRDefault="00123EB0" w:rsidP="00E21EA0">
      <w:pPr>
        <w:spacing w:after="0" w:line="240" w:lineRule="auto"/>
      </w:pPr>
      <w:r>
        <w:separator/>
      </w:r>
    </w:p>
  </w:endnote>
  <w:endnote w:type="continuationSeparator" w:id="0">
    <w:p w14:paraId="3DD72563" w14:textId="77777777" w:rsidR="00123EB0" w:rsidRDefault="00123EB0" w:rsidP="00E2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Black">
    <w:charset w:val="00"/>
    <w:family w:val="swiss"/>
    <w:pitch w:val="variable"/>
    <w:sig w:usb0="600002F7" w:usb1="02000001"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A74E2" w14:textId="1850BDF5" w:rsidR="008A2B51" w:rsidRPr="00A000EE" w:rsidRDefault="00473E01" w:rsidP="00444E71">
    <w:pPr>
      <w:pStyle w:val="Footer"/>
      <w:jc w:val="center"/>
      <w:rPr>
        <w:color w:val="F79109"/>
        <w:sz w:val="28"/>
        <w:szCs w:val="28"/>
      </w:rPr>
    </w:pPr>
    <w:r w:rsidRPr="00A000EE">
      <w:rPr>
        <w:color w:val="F79109"/>
        <w:sz w:val="28"/>
        <w:szCs w:val="28"/>
      </w:rPr>
      <w:t xml:space="preserve">Professionals in Business Journal </w:t>
    </w:r>
    <w:sdt>
      <w:sdtPr>
        <w:rPr>
          <w:color w:val="F79109"/>
          <w:sz w:val="28"/>
          <w:szCs w:val="28"/>
        </w:rPr>
        <w:id w:val="-1856572415"/>
        <w:docPartObj>
          <w:docPartGallery w:val="Page Numbers (Bottom of Page)"/>
          <w:docPartUnique/>
        </w:docPartObj>
      </w:sdtPr>
      <w:sdtEndPr/>
      <w:sdtContent>
        <w:r w:rsidRPr="00A000EE">
          <w:rPr>
            <w:noProof/>
            <w:color w:val="F79109"/>
            <w:sz w:val="28"/>
            <w:szCs w:val="28"/>
          </w:rPr>
          <mc:AlternateContent>
            <mc:Choice Requires="wps">
              <w:drawing>
                <wp:anchor distT="0" distB="0" distL="114300" distR="114300" simplePos="0" relativeHeight="251659264" behindDoc="0" locked="0" layoutInCell="1" allowOverlap="1" wp14:anchorId="07B8C415" wp14:editId="07D598D4">
                  <wp:simplePos x="0" y="0"/>
                  <wp:positionH relativeFrom="rightMargin">
                    <wp:align>center</wp:align>
                  </wp:positionH>
                  <wp:positionV relativeFrom="bottomMargin">
                    <wp:align>top</wp:align>
                  </wp:positionV>
                  <wp:extent cx="762000" cy="895350"/>
                  <wp:effectExtent l="0" t="0" r="0" b="0"/>
                  <wp:wrapNone/>
                  <wp:docPr id="72418366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rPr>
                                  <w:color w:val="F79109"/>
                                </w:rPr>
                              </w:sdtEndPr>
                              <w:sdtContent>
                                <w:sdt>
                                  <w:sdtPr>
                                    <w:rPr>
                                      <w:rFonts w:asciiTheme="majorHAnsi" w:eastAsiaTheme="majorEastAsia" w:hAnsiTheme="majorHAnsi" w:cstheme="majorBidi"/>
                                      <w:color w:val="F79109"/>
                                      <w:sz w:val="48"/>
                                      <w:szCs w:val="48"/>
                                    </w:rPr>
                                    <w:id w:val="-1904517296"/>
                                    <w:docPartObj>
                                      <w:docPartGallery w:val="Page Numbers (Margins)"/>
                                      <w:docPartUnique/>
                                    </w:docPartObj>
                                  </w:sdtPr>
                                  <w:sdtEndPr/>
                                  <w:sdtContent>
                                    <w:p w14:paraId="56471113" w14:textId="77777777" w:rsidR="00473E01" w:rsidRPr="00A000EE" w:rsidRDefault="00473E01">
                                      <w:pPr>
                                        <w:jc w:val="center"/>
                                        <w:rPr>
                                          <w:rFonts w:asciiTheme="majorHAnsi" w:eastAsiaTheme="majorEastAsia" w:hAnsiTheme="majorHAnsi" w:cstheme="majorBidi"/>
                                          <w:color w:val="F79109"/>
                                          <w:sz w:val="48"/>
                                          <w:szCs w:val="44"/>
                                        </w:rPr>
                                      </w:pPr>
                                      <w:r w:rsidRPr="00A000EE">
                                        <w:rPr>
                                          <w:rFonts w:eastAsiaTheme="minorEastAsia" w:cs="Times New Roman"/>
                                          <w:color w:val="F79109"/>
                                        </w:rPr>
                                        <w:fldChar w:fldCharType="begin"/>
                                      </w:r>
                                      <w:r w:rsidRPr="00A000EE">
                                        <w:rPr>
                                          <w:color w:val="F79109"/>
                                        </w:rPr>
                                        <w:instrText xml:space="preserve"> PAGE   \* MERGEFORMAT </w:instrText>
                                      </w:r>
                                      <w:r w:rsidRPr="00A000EE">
                                        <w:rPr>
                                          <w:rFonts w:eastAsiaTheme="minorEastAsia" w:cs="Times New Roman"/>
                                          <w:color w:val="F79109"/>
                                        </w:rPr>
                                        <w:fldChar w:fldCharType="separate"/>
                                      </w:r>
                                      <w:r w:rsidRPr="00A000EE">
                                        <w:rPr>
                                          <w:rFonts w:asciiTheme="majorHAnsi" w:eastAsiaTheme="majorEastAsia" w:hAnsiTheme="majorHAnsi" w:cstheme="majorBidi"/>
                                          <w:noProof/>
                                          <w:color w:val="F79109"/>
                                          <w:sz w:val="48"/>
                                          <w:szCs w:val="48"/>
                                        </w:rPr>
                                        <w:t>2</w:t>
                                      </w:r>
                                      <w:r w:rsidRPr="00A000EE">
                                        <w:rPr>
                                          <w:rFonts w:asciiTheme="majorHAnsi" w:eastAsiaTheme="majorEastAsia" w:hAnsiTheme="majorHAnsi" w:cstheme="majorBidi"/>
                                          <w:noProof/>
                                          <w:color w:val="F79109"/>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8C415" id="Rectangle 5" o:spid="_x0000_s1027"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rPr>
                            <w:color w:val="F79109"/>
                          </w:rPr>
                        </w:sdtEndPr>
                        <w:sdtContent>
                          <w:sdt>
                            <w:sdtPr>
                              <w:rPr>
                                <w:rFonts w:asciiTheme="majorHAnsi" w:eastAsiaTheme="majorEastAsia" w:hAnsiTheme="majorHAnsi" w:cstheme="majorBidi"/>
                                <w:color w:val="F79109"/>
                                <w:sz w:val="48"/>
                                <w:szCs w:val="48"/>
                              </w:rPr>
                              <w:id w:val="-1904517296"/>
                              <w:docPartObj>
                                <w:docPartGallery w:val="Page Numbers (Margins)"/>
                                <w:docPartUnique/>
                              </w:docPartObj>
                            </w:sdtPr>
                            <w:sdtEndPr/>
                            <w:sdtContent>
                              <w:p w14:paraId="56471113" w14:textId="77777777" w:rsidR="00473E01" w:rsidRPr="00A000EE" w:rsidRDefault="00473E01">
                                <w:pPr>
                                  <w:jc w:val="center"/>
                                  <w:rPr>
                                    <w:rFonts w:asciiTheme="majorHAnsi" w:eastAsiaTheme="majorEastAsia" w:hAnsiTheme="majorHAnsi" w:cstheme="majorBidi"/>
                                    <w:color w:val="F79109"/>
                                    <w:sz w:val="48"/>
                                    <w:szCs w:val="44"/>
                                  </w:rPr>
                                </w:pPr>
                                <w:r w:rsidRPr="00A000EE">
                                  <w:rPr>
                                    <w:rFonts w:eastAsiaTheme="minorEastAsia" w:cs="Times New Roman"/>
                                    <w:color w:val="F79109"/>
                                  </w:rPr>
                                  <w:fldChar w:fldCharType="begin"/>
                                </w:r>
                                <w:r w:rsidRPr="00A000EE">
                                  <w:rPr>
                                    <w:color w:val="F79109"/>
                                  </w:rPr>
                                  <w:instrText xml:space="preserve"> PAGE   \* MERGEFORMAT </w:instrText>
                                </w:r>
                                <w:r w:rsidRPr="00A000EE">
                                  <w:rPr>
                                    <w:rFonts w:eastAsiaTheme="minorEastAsia" w:cs="Times New Roman"/>
                                    <w:color w:val="F79109"/>
                                  </w:rPr>
                                  <w:fldChar w:fldCharType="separate"/>
                                </w:r>
                                <w:r w:rsidRPr="00A000EE">
                                  <w:rPr>
                                    <w:rFonts w:asciiTheme="majorHAnsi" w:eastAsiaTheme="majorEastAsia" w:hAnsiTheme="majorHAnsi" w:cstheme="majorBidi"/>
                                    <w:noProof/>
                                    <w:color w:val="F79109"/>
                                    <w:sz w:val="48"/>
                                    <w:szCs w:val="48"/>
                                  </w:rPr>
                                  <w:t>2</w:t>
                                </w:r>
                                <w:r w:rsidRPr="00A000EE">
                                  <w:rPr>
                                    <w:rFonts w:asciiTheme="majorHAnsi" w:eastAsiaTheme="majorEastAsia" w:hAnsiTheme="majorHAnsi" w:cstheme="majorBidi"/>
                                    <w:noProof/>
                                    <w:color w:val="F79109"/>
                                    <w:sz w:val="48"/>
                                    <w:szCs w:val="48"/>
                                  </w:rPr>
                                  <w:fldChar w:fldCharType="end"/>
                                </w:r>
                              </w:p>
                            </w:sdtContent>
                          </w:sdt>
                        </w:sdtContent>
                      </w:sdt>
                    </w:txbxContent>
                  </v:textbox>
                  <w10:wrap anchorx="margin" anchory="margin"/>
                </v:rect>
              </w:pict>
            </mc:Fallback>
          </mc:AlternateContent>
        </w:r>
      </w:sdtContent>
    </w:sdt>
    <w:r w:rsidR="009F1B84" w:rsidRPr="00A000EE">
      <w:rPr>
        <w:color w:val="F79109"/>
        <w:sz w:val="28"/>
        <w:szCs w:val="28"/>
      </w:rPr>
      <w:t>-</w:t>
    </w:r>
    <w:r w:rsidRPr="00A000EE">
      <w:rPr>
        <w:color w:val="F79109"/>
        <w:sz w:val="28"/>
        <w:szCs w:val="28"/>
      </w:rPr>
      <w:t xml:space="preserve"> 2024 Q</w:t>
    </w:r>
    <w:r w:rsidR="00A000EE">
      <w:rPr>
        <w:color w:val="F79109"/>
        <w:sz w:val="28"/>
        <w:szCs w:val="28"/>
      </w:rPr>
      <w:t>2</w:t>
    </w:r>
    <w:r w:rsidRPr="00A000EE">
      <w:rPr>
        <w:color w:val="F79109"/>
        <w:sz w:val="28"/>
        <w:szCs w:val="28"/>
      </w:rPr>
      <w:t xml:space="preserve">: </w:t>
    </w:r>
    <w:r w:rsidR="007358FB" w:rsidRPr="00A000EE">
      <w:rPr>
        <w:color w:val="F79109"/>
        <w:sz w:val="28"/>
        <w:szCs w:val="28"/>
      </w:rPr>
      <w:t>Issue</w:t>
    </w:r>
    <w:r w:rsidR="009F1B84" w:rsidRPr="00A000EE">
      <w:rPr>
        <w:color w:val="F79109"/>
        <w:sz w:val="28"/>
        <w:szCs w:val="28"/>
      </w:rPr>
      <w:t xml:space="preserve"> </w:t>
    </w:r>
    <w:r w:rsidR="00A000EE">
      <w:rPr>
        <w:color w:val="F79109"/>
        <w:sz w:val="28"/>
        <w:szCs w:val="2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6522D" w14:textId="77777777" w:rsidR="00123EB0" w:rsidRDefault="00123EB0" w:rsidP="00E21EA0">
      <w:pPr>
        <w:spacing w:after="0" w:line="240" w:lineRule="auto"/>
      </w:pPr>
      <w:r>
        <w:separator/>
      </w:r>
    </w:p>
  </w:footnote>
  <w:footnote w:type="continuationSeparator" w:id="0">
    <w:p w14:paraId="122B3879" w14:textId="77777777" w:rsidR="00123EB0" w:rsidRDefault="00123EB0" w:rsidP="00E21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D4CF6" w14:textId="5475AF8C" w:rsidR="008A2B51" w:rsidRPr="008A2B51" w:rsidRDefault="008A2B51" w:rsidP="008A2B51">
    <w:pPr>
      <w:pStyle w:val="Header"/>
      <w:jc w:val="center"/>
      <w:rPr>
        <w:color w:val="CC3300"/>
      </w:rPr>
    </w:pPr>
    <w:r w:rsidRPr="008A2B51">
      <w:rPr>
        <w:noProof/>
        <w:color w:val="CC3300"/>
        <w14:ligatures w14:val="standardContextual"/>
      </w:rPr>
      <w:drawing>
        <wp:inline distT="0" distB="0" distL="0" distR="0" wp14:anchorId="7817438F" wp14:editId="06D77AB5">
          <wp:extent cx="272143" cy="272143"/>
          <wp:effectExtent l="0" t="0" r="0" b="0"/>
          <wp:docPr id="917020267"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20267"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625" cy="274625"/>
                  </a:xfrm>
                  <a:prstGeom prst="rect">
                    <a:avLst/>
                  </a:prstGeom>
                </pic:spPr>
              </pic:pic>
            </a:graphicData>
          </a:graphic>
        </wp:inline>
      </w:drawing>
    </w:r>
    <w:r w:rsidRPr="00A000EE">
      <w:rPr>
        <w:color w:val="F79109"/>
        <w:sz w:val="28"/>
        <w:szCs w:val="28"/>
      </w:rPr>
      <w:t>www.pyrrhicpress.org</w:t>
    </w:r>
    <w:r w:rsidR="00CE66E5" w:rsidRPr="00A000EE">
      <w:rPr>
        <w:color w:val="F79109"/>
        <w:sz w:val="28"/>
        <w:szCs w:val="28"/>
      </w:rPr>
      <w:t xml:space="preserve"> – DOI: </w:t>
    </w:r>
    <w:r w:rsidR="00B02B96">
      <w:rPr>
        <w:rFonts w:ascii="Helvetica" w:hAnsi="Helvetica" w:cs="Helvetica"/>
        <w:b/>
        <w:bCs/>
        <w:sz w:val="20"/>
        <w:szCs w:val="20"/>
        <w:shd w:val="clear" w:color="auto" w:fill="FFFFFF"/>
      </w:rPr>
      <w:t>10.5281/zenodo.11424489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7423"/>
    <w:multiLevelType w:val="hybridMultilevel"/>
    <w:tmpl w:val="7ABE50B6"/>
    <w:lvl w:ilvl="0" w:tplc="CEF8B48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254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9C2D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227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C6A86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25A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B637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A9B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50D31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237479"/>
    <w:multiLevelType w:val="multilevel"/>
    <w:tmpl w:val="272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F73AB"/>
    <w:multiLevelType w:val="multilevel"/>
    <w:tmpl w:val="6672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7D6EC6"/>
    <w:multiLevelType w:val="multilevel"/>
    <w:tmpl w:val="FF680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6C412A"/>
    <w:multiLevelType w:val="multilevel"/>
    <w:tmpl w:val="775E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204A8"/>
    <w:multiLevelType w:val="hybridMultilevel"/>
    <w:tmpl w:val="9392D56A"/>
    <w:lvl w:ilvl="0" w:tplc="CE9A91C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E0C4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76D1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DEA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A034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A36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509F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082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1843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C92892"/>
    <w:multiLevelType w:val="multilevel"/>
    <w:tmpl w:val="52E8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A24280"/>
    <w:multiLevelType w:val="multilevel"/>
    <w:tmpl w:val="F18AF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162C75"/>
    <w:multiLevelType w:val="hybridMultilevel"/>
    <w:tmpl w:val="9A123FC2"/>
    <w:lvl w:ilvl="0" w:tplc="447CC1E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89F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14C1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5EBF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EEFE1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48D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2285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862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80B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A7E3102"/>
    <w:multiLevelType w:val="hybridMultilevel"/>
    <w:tmpl w:val="A22A9188"/>
    <w:lvl w:ilvl="0" w:tplc="845893A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E654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60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243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6ACB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4721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4A9B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BA3FE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2B8A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EE6D2D"/>
    <w:multiLevelType w:val="hybridMultilevel"/>
    <w:tmpl w:val="4DB6B004"/>
    <w:lvl w:ilvl="0" w:tplc="17BA99F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D2C4B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96A6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62E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C446B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AF2B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028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CA984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20D9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EB32EB7"/>
    <w:multiLevelType w:val="hybridMultilevel"/>
    <w:tmpl w:val="D85016A8"/>
    <w:lvl w:ilvl="0" w:tplc="AB22AEE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928A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8656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04C1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236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46C1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48C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867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8ABA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03046C5"/>
    <w:multiLevelType w:val="multilevel"/>
    <w:tmpl w:val="5C8014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2947AC"/>
    <w:multiLevelType w:val="hybridMultilevel"/>
    <w:tmpl w:val="AFE6B552"/>
    <w:lvl w:ilvl="0" w:tplc="9938961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047E6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5CAF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630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C09A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0602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A59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F6F60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05D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53B19E7"/>
    <w:multiLevelType w:val="multilevel"/>
    <w:tmpl w:val="DE74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277A26"/>
    <w:multiLevelType w:val="multilevel"/>
    <w:tmpl w:val="924E3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FD0E9B"/>
    <w:multiLevelType w:val="multilevel"/>
    <w:tmpl w:val="1330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BA3AF3"/>
    <w:multiLevelType w:val="multilevel"/>
    <w:tmpl w:val="6A78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5E0FA8"/>
    <w:multiLevelType w:val="multilevel"/>
    <w:tmpl w:val="A380D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4517E3"/>
    <w:multiLevelType w:val="multilevel"/>
    <w:tmpl w:val="335E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A713B5"/>
    <w:multiLevelType w:val="hybridMultilevel"/>
    <w:tmpl w:val="8FA41EDC"/>
    <w:lvl w:ilvl="0" w:tplc="3BC07EE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2E1F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8269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BA9D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B0EB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BC02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36BD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F416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70B28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5E20933"/>
    <w:multiLevelType w:val="hybridMultilevel"/>
    <w:tmpl w:val="1D4C5854"/>
    <w:lvl w:ilvl="0" w:tplc="1E0C162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EBD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CCF6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2A3A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34132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96B4D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D86B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12398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643C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6096203"/>
    <w:multiLevelType w:val="hybridMultilevel"/>
    <w:tmpl w:val="A6AA612C"/>
    <w:lvl w:ilvl="0" w:tplc="4858C82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4C67F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3E2E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CE3F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D2B22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0C3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E35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2CC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0215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A081D91"/>
    <w:multiLevelType w:val="multilevel"/>
    <w:tmpl w:val="04C6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8D2CC4"/>
    <w:multiLevelType w:val="multilevel"/>
    <w:tmpl w:val="17961C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8E3B59"/>
    <w:multiLevelType w:val="hybridMultilevel"/>
    <w:tmpl w:val="F1EA2F3C"/>
    <w:lvl w:ilvl="0" w:tplc="5FF0E35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AACC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34B6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83B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7AD5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42717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2A6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8867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6AC3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F713122"/>
    <w:multiLevelType w:val="hybridMultilevel"/>
    <w:tmpl w:val="572A751A"/>
    <w:lvl w:ilvl="0" w:tplc="D822304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A0ED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0DE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F68C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686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8F08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8EB5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A49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964D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1B406EB"/>
    <w:multiLevelType w:val="hybridMultilevel"/>
    <w:tmpl w:val="3A484B8A"/>
    <w:lvl w:ilvl="0" w:tplc="4DF0754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801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FC99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8216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2CCD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DC54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DC470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80A1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BA242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2900D42"/>
    <w:multiLevelType w:val="multilevel"/>
    <w:tmpl w:val="9FCA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F33F8E"/>
    <w:multiLevelType w:val="multilevel"/>
    <w:tmpl w:val="C21AD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502BAE"/>
    <w:multiLevelType w:val="multilevel"/>
    <w:tmpl w:val="F248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665E70"/>
    <w:multiLevelType w:val="hybridMultilevel"/>
    <w:tmpl w:val="4E687048"/>
    <w:lvl w:ilvl="0" w:tplc="D9CC021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49ED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462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D6DA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B46F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05BA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0E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E882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943F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4D933EC"/>
    <w:multiLevelType w:val="hybridMultilevel"/>
    <w:tmpl w:val="58F419C8"/>
    <w:lvl w:ilvl="0" w:tplc="667860F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A9F9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4AFB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2FB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8592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A1E0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683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0968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C20AA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57932C2"/>
    <w:multiLevelType w:val="multilevel"/>
    <w:tmpl w:val="FCE46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C63405"/>
    <w:multiLevelType w:val="hybridMultilevel"/>
    <w:tmpl w:val="DA7A0BC6"/>
    <w:lvl w:ilvl="0" w:tplc="F58A68B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3E33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3E88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4B1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94CA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9A7A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5A7D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CE44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204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B87710F"/>
    <w:multiLevelType w:val="hybridMultilevel"/>
    <w:tmpl w:val="51046B68"/>
    <w:lvl w:ilvl="0" w:tplc="04AC878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ED61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86613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4ADF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28602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2B7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A6C9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443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FE38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D214E54"/>
    <w:multiLevelType w:val="multilevel"/>
    <w:tmpl w:val="4A90F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4010A2"/>
    <w:multiLevelType w:val="multilevel"/>
    <w:tmpl w:val="94FA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8E29BB"/>
    <w:multiLevelType w:val="multilevel"/>
    <w:tmpl w:val="70224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FB4A58"/>
    <w:multiLevelType w:val="multilevel"/>
    <w:tmpl w:val="C7B2A2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EF7BCC"/>
    <w:multiLevelType w:val="multilevel"/>
    <w:tmpl w:val="2CE6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49307FE"/>
    <w:multiLevelType w:val="multilevel"/>
    <w:tmpl w:val="AEE4D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5800C7F"/>
    <w:multiLevelType w:val="multilevel"/>
    <w:tmpl w:val="2690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C40933"/>
    <w:multiLevelType w:val="multilevel"/>
    <w:tmpl w:val="2DF8C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8C0C2A"/>
    <w:multiLevelType w:val="multilevel"/>
    <w:tmpl w:val="ADC60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21F48DA"/>
    <w:multiLevelType w:val="multilevel"/>
    <w:tmpl w:val="0BF65E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D4624F"/>
    <w:multiLevelType w:val="multilevel"/>
    <w:tmpl w:val="9464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6151E62"/>
    <w:multiLevelType w:val="hybridMultilevel"/>
    <w:tmpl w:val="A12C847A"/>
    <w:lvl w:ilvl="0" w:tplc="A6FA35E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3A57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C661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6659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DA96F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F28FA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B2C0B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2AE4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50A6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84465D1"/>
    <w:multiLevelType w:val="hybridMultilevel"/>
    <w:tmpl w:val="A25293E0"/>
    <w:lvl w:ilvl="0" w:tplc="6F0ED7B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1437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4E3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D420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C63C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54D5E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441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58B6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7825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8BA2C9C"/>
    <w:multiLevelType w:val="multilevel"/>
    <w:tmpl w:val="147C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8170FA"/>
    <w:multiLevelType w:val="multilevel"/>
    <w:tmpl w:val="CA386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C51524D"/>
    <w:multiLevelType w:val="multilevel"/>
    <w:tmpl w:val="5118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CB37765"/>
    <w:multiLevelType w:val="hybridMultilevel"/>
    <w:tmpl w:val="79D0B2D0"/>
    <w:lvl w:ilvl="0" w:tplc="48C6603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89F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6228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44CC7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1C5B1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EBE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C22E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4057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1073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0A14E2F"/>
    <w:multiLevelType w:val="hybridMultilevel"/>
    <w:tmpl w:val="4740DFCC"/>
    <w:lvl w:ilvl="0" w:tplc="3D9634B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489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A7B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C0914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4701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1A22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A289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205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6CBA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38377D3"/>
    <w:multiLevelType w:val="multilevel"/>
    <w:tmpl w:val="32BC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3A04E82"/>
    <w:multiLevelType w:val="hybridMultilevel"/>
    <w:tmpl w:val="38DA51DA"/>
    <w:lvl w:ilvl="0" w:tplc="A02AD86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28C1B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FEE3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5EF9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484CB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45B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4817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3AFED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9C6A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3D82A5F"/>
    <w:multiLevelType w:val="hybridMultilevel"/>
    <w:tmpl w:val="71C4C5D2"/>
    <w:lvl w:ilvl="0" w:tplc="BE9C065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8848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6842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E4F5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BE8A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4876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2C42C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B22E2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3097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51D6503"/>
    <w:multiLevelType w:val="hybridMultilevel"/>
    <w:tmpl w:val="04CC6BDA"/>
    <w:lvl w:ilvl="0" w:tplc="2826ABE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6658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2226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B43B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5EFBD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D401F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0BB0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0DF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464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66B5C68"/>
    <w:multiLevelType w:val="multilevel"/>
    <w:tmpl w:val="B134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7CF3E45"/>
    <w:multiLevelType w:val="hybridMultilevel"/>
    <w:tmpl w:val="18980082"/>
    <w:lvl w:ilvl="0" w:tplc="DBE09D9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8D61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9636D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85C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C7B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2AC76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28F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F0268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8C1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8002084"/>
    <w:multiLevelType w:val="hybridMultilevel"/>
    <w:tmpl w:val="4476C2E6"/>
    <w:lvl w:ilvl="0" w:tplc="793441A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EA25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A6796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E2B3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3248B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A45C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C63C8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5EB52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C66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834690E"/>
    <w:multiLevelType w:val="multilevel"/>
    <w:tmpl w:val="22D6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A255FFD"/>
    <w:multiLevelType w:val="hybridMultilevel"/>
    <w:tmpl w:val="7EC6F6F0"/>
    <w:lvl w:ilvl="0" w:tplc="20221B7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2BCB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CC6E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E91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BA91F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D6E2C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2047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E86C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50201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A2A174A"/>
    <w:multiLevelType w:val="multilevel"/>
    <w:tmpl w:val="4974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A2A2E2F"/>
    <w:multiLevelType w:val="multilevel"/>
    <w:tmpl w:val="F7EC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C012817"/>
    <w:multiLevelType w:val="multilevel"/>
    <w:tmpl w:val="6C5A4F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D8E2EDC"/>
    <w:multiLevelType w:val="multilevel"/>
    <w:tmpl w:val="BD16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E8E1697"/>
    <w:multiLevelType w:val="multilevel"/>
    <w:tmpl w:val="841C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EAD2F2D"/>
    <w:multiLevelType w:val="hybridMultilevel"/>
    <w:tmpl w:val="04C65B38"/>
    <w:lvl w:ilvl="0" w:tplc="EC10D8A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24E51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8BFF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688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607F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DA1AE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26B8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EEB1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C02A9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F196AB9"/>
    <w:multiLevelType w:val="hybridMultilevel"/>
    <w:tmpl w:val="26D6302E"/>
    <w:lvl w:ilvl="0" w:tplc="CCEABCE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659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F0A13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DA34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2C66F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E57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4CD9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A88B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21EE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FAF4A47"/>
    <w:multiLevelType w:val="multilevel"/>
    <w:tmpl w:val="8F8438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3583A2D"/>
    <w:multiLevelType w:val="multilevel"/>
    <w:tmpl w:val="1C1266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58E26AE"/>
    <w:multiLevelType w:val="hybridMultilevel"/>
    <w:tmpl w:val="12BAB414"/>
    <w:lvl w:ilvl="0" w:tplc="F2C4132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CFB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028E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270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C6ECA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D02D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6E8E1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C47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3486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5EA666B"/>
    <w:multiLevelType w:val="hybridMultilevel"/>
    <w:tmpl w:val="E24AED7E"/>
    <w:lvl w:ilvl="0" w:tplc="98A6BD1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D455E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4A41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2E65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22B7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6ACE9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A05B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EAB2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295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65D0C94"/>
    <w:multiLevelType w:val="hybridMultilevel"/>
    <w:tmpl w:val="8F5E73F8"/>
    <w:lvl w:ilvl="0" w:tplc="82B0294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220F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7089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5ED6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6FA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4092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947E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D25D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54466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AE21583"/>
    <w:multiLevelType w:val="multilevel"/>
    <w:tmpl w:val="D1AC4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D0463C4"/>
    <w:multiLevelType w:val="hybridMultilevel"/>
    <w:tmpl w:val="542A2822"/>
    <w:lvl w:ilvl="0" w:tplc="270EC86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2C9C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CA4F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B4A7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ADBB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2BDB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4A288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80EB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DC5F7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E235571"/>
    <w:multiLevelType w:val="multilevel"/>
    <w:tmpl w:val="383A8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FAC3873"/>
    <w:multiLevelType w:val="hybridMultilevel"/>
    <w:tmpl w:val="BD4A7170"/>
    <w:lvl w:ilvl="0" w:tplc="7942634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892F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B8104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46CE1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907D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9AA7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904FE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CE9D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06F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66885207">
    <w:abstractNumId w:val="66"/>
  </w:num>
  <w:num w:numId="2" w16cid:durableId="791828280">
    <w:abstractNumId w:val="30"/>
  </w:num>
  <w:num w:numId="3" w16cid:durableId="820075987">
    <w:abstractNumId w:val="46"/>
  </w:num>
  <w:num w:numId="4" w16cid:durableId="1573656547">
    <w:abstractNumId w:val="23"/>
  </w:num>
  <w:num w:numId="5" w16cid:durableId="1423257990">
    <w:abstractNumId w:val="14"/>
  </w:num>
  <w:num w:numId="6" w16cid:durableId="526991721">
    <w:abstractNumId w:val="17"/>
  </w:num>
  <w:num w:numId="7" w16cid:durableId="1557929014">
    <w:abstractNumId w:val="6"/>
  </w:num>
  <w:num w:numId="8" w16cid:durableId="939222556">
    <w:abstractNumId w:val="51"/>
  </w:num>
  <w:num w:numId="9" w16cid:durableId="1337538590">
    <w:abstractNumId w:val="44"/>
  </w:num>
  <w:num w:numId="10" w16cid:durableId="1450933382">
    <w:abstractNumId w:val="67"/>
  </w:num>
  <w:num w:numId="11" w16cid:durableId="1504322878">
    <w:abstractNumId w:val="77"/>
  </w:num>
  <w:num w:numId="12" w16cid:durableId="1813015319">
    <w:abstractNumId w:val="3"/>
  </w:num>
  <w:num w:numId="13" w16cid:durableId="76945819">
    <w:abstractNumId w:val="24"/>
  </w:num>
  <w:num w:numId="14" w16cid:durableId="1430782898">
    <w:abstractNumId w:val="50"/>
  </w:num>
  <w:num w:numId="15" w16cid:durableId="38018780">
    <w:abstractNumId w:val="18"/>
  </w:num>
  <w:num w:numId="16" w16cid:durableId="2040475099">
    <w:abstractNumId w:val="7"/>
  </w:num>
  <w:num w:numId="17" w16cid:durableId="535778625">
    <w:abstractNumId w:val="49"/>
  </w:num>
  <w:num w:numId="18" w16cid:durableId="1448156285">
    <w:abstractNumId w:val="70"/>
  </w:num>
  <w:num w:numId="19" w16cid:durableId="1317681834">
    <w:abstractNumId w:val="19"/>
  </w:num>
  <w:num w:numId="20" w16cid:durableId="500658863">
    <w:abstractNumId w:val="39"/>
  </w:num>
  <w:num w:numId="21" w16cid:durableId="2103062955">
    <w:abstractNumId w:val="4"/>
  </w:num>
  <w:num w:numId="22" w16cid:durableId="138154937">
    <w:abstractNumId w:val="43"/>
  </w:num>
  <w:num w:numId="23" w16cid:durableId="503670806">
    <w:abstractNumId w:val="37"/>
  </w:num>
  <w:num w:numId="24" w16cid:durableId="1855805872">
    <w:abstractNumId w:val="71"/>
  </w:num>
  <w:num w:numId="25" w16cid:durableId="97071615">
    <w:abstractNumId w:val="65"/>
  </w:num>
  <w:num w:numId="26" w16cid:durableId="1531336769">
    <w:abstractNumId w:val="45"/>
  </w:num>
  <w:num w:numId="27" w16cid:durableId="494300240">
    <w:abstractNumId w:val="12"/>
  </w:num>
  <w:num w:numId="28" w16cid:durableId="1843157205">
    <w:abstractNumId w:val="42"/>
  </w:num>
  <w:num w:numId="29" w16cid:durableId="1295529368">
    <w:abstractNumId w:val="63"/>
  </w:num>
  <w:num w:numId="30" w16cid:durableId="958144192">
    <w:abstractNumId w:val="75"/>
  </w:num>
  <w:num w:numId="31" w16cid:durableId="2123911137">
    <w:abstractNumId w:val="61"/>
  </w:num>
  <w:num w:numId="32" w16cid:durableId="652300538">
    <w:abstractNumId w:val="33"/>
  </w:num>
  <w:num w:numId="33" w16cid:durableId="1994871370">
    <w:abstractNumId w:val="36"/>
  </w:num>
  <w:num w:numId="34" w16cid:durableId="1952204852">
    <w:abstractNumId w:val="29"/>
  </w:num>
  <w:num w:numId="35" w16cid:durableId="116029385">
    <w:abstractNumId w:val="41"/>
  </w:num>
  <w:num w:numId="36" w16cid:durableId="737871824">
    <w:abstractNumId w:val="15"/>
  </w:num>
  <w:num w:numId="37" w16cid:durableId="1770151687">
    <w:abstractNumId w:val="38"/>
  </w:num>
  <w:num w:numId="38" w16cid:durableId="1835144424">
    <w:abstractNumId w:val="2"/>
  </w:num>
  <w:num w:numId="39" w16cid:durableId="401878774">
    <w:abstractNumId w:val="28"/>
  </w:num>
  <w:num w:numId="40" w16cid:durableId="147527239">
    <w:abstractNumId w:val="40"/>
  </w:num>
  <w:num w:numId="41" w16cid:durableId="1741322405">
    <w:abstractNumId w:val="58"/>
  </w:num>
  <w:num w:numId="42" w16cid:durableId="1076174815">
    <w:abstractNumId w:val="16"/>
  </w:num>
  <w:num w:numId="43" w16cid:durableId="1345743044">
    <w:abstractNumId w:val="54"/>
  </w:num>
  <w:num w:numId="44" w16cid:durableId="1178693691">
    <w:abstractNumId w:val="1"/>
  </w:num>
  <w:num w:numId="45" w16cid:durableId="623313508">
    <w:abstractNumId w:val="64"/>
  </w:num>
  <w:num w:numId="46" w16cid:durableId="1438333567">
    <w:abstractNumId w:val="5"/>
  </w:num>
  <w:num w:numId="47" w16cid:durableId="376249274">
    <w:abstractNumId w:val="34"/>
  </w:num>
  <w:num w:numId="48" w16cid:durableId="803040260">
    <w:abstractNumId w:val="13"/>
  </w:num>
  <w:num w:numId="49" w16cid:durableId="786240441">
    <w:abstractNumId w:val="21"/>
  </w:num>
  <w:num w:numId="50" w16cid:durableId="2072146477">
    <w:abstractNumId w:val="60"/>
  </w:num>
  <w:num w:numId="51" w16cid:durableId="700084467">
    <w:abstractNumId w:val="53"/>
  </w:num>
  <w:num w:numId="52" w16cid:durableId="1038045163">
    <w:abstractNumId w:val="22"/>
  </w:num>
  <w:num w:numId="53" w16cid:durableId="1187408934">
    <w:abstractNumId w:val="62"/>
  </w:num>
  <w:num w:numId="54" w16cid:durableId="1202284250">
    <w:abstractNumId w:val="55"/>
  </w:num>
  <w:num w:numId="55" w16cid:durableId="1994870698">
    <w:abstractNumId w:val="48"/>
  </w:num>
  <w:num w:numId="56" w16cid:durableId="1658921002">
    <w:abstractNumId w:val="76"/>
  </w:num>
  <w:num w:numId="57" w16cid:durableId="1128933749">
    <w:abstractNumId w:val="59"/>
  </w:num>
  <w:num w:numId="58" w16cid:durableId="987855587">
    <w:abstractNumId w:val="27"/>
  </w:num>
  <w:num w:numId="59" w16cid:durableId="936017150">
    <w:abstractNumId w:val="35"/>
  </w:num>
  <w:num w:numId="60" w16cid:durableId="101387812">
    <w:abstractNumId w:val="68"/>
  </w:num>
  <w:num w:numId="61" w16cid:durableId="995458282">
    <w:abstractNumId w:val="73"/>
  </w:num>
  <w:num w:numId="62" w16cid:durableId="1167983148">
    <w:abstractNumId w:val="20"/>
  </w:num>
  <w:num w:numId="63" w16cid:durableId="453409881">
    <w:abstractNumId w:val="10"/>
  </w:num>
  <w:num w:numId="64" w16cid:durableId="2006085657">
    <w:abstractNumId w:val="69"/>
  </w:num>
  <w:num w:numId="65" w16cid:durableId="1300454494">
    <w:abstractNumId w:val="57"/>
  </w:num>
  <w:num w:numId="66" w16cid:durableId="1466316524">
    <w:abstractNumId w:val="56"/>
  </w:num>
  <w:num w:numId="67" w16cid:durableId="1456874489">
    <w:abstractNumId w:val="31"/>
  </w:num>
  <w:num w:numId="68" w16cid:durableId="922297772">
    <w:abstractNumId w:val="8"/>
  </w:num>
  <w:num w:numId="69" w16cid:durableId="762339570">
    <w:abstractNumId w:val="74"/>
  </w:num>
  <w:num w:numId="70" w16cid:durableId="1733000308">
    <w:abstractNumId w:val="52"/>
  </w:num>
  <w:num w:numId="71" w16cid:durableId="2126120889">
    <w:abstractNumId w:val="78"/>
  </w:num>
  <w:num w:numId="72" w16cid:durableId="1689988538">
    <w:abstractNumId w:val="11"/>
  </w:num>
  <w:num w:numId="73" w16cid:durableId="1334838994">
    <w:abstractNumId w:val="72"/>
  </w:num>
  <w:num w:numId="74" w16cid:durableId="1146121955">
    <w:abstractNumId w:val="47"/>
  </w:num>
  <w:num w:numId="75" w16cid:durableId="121461726">
    <w:abstractNumId w:val="26"/>
  </w:num>
  <w:num w:numId="76" w16cid:durableId="608514408">
    <w:abstractNumId w:val="25"/>
  </w:num>
  <w:num w:numId="77" w16cid:durableId="1476337254">
    <w:abstractNumId w:val="0"/>
  </w:num>
  <w:num w:numId="78" w16cid:durableId="387195315">
    <w:abstractNumId w:val="32"/>
  </w:num>
  <w:num w:numId="79" w16cid:durableId="2021932491">
    <w:abstractNumId w:val="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88"/>
    <w:rsid w:val="00005D98"/>
    <w:rsid w:val="00025FB6"/>
    <w:rsid w:val="00027912"/>
    <w:rsid w:val="000376F0"/>
    <w:rsid w:val="00054D66"/>
    <w:rsid w:val="00056A9E"/>
    <w:rsid w:val="00075FA0"/>
    <w:rsid w:val="00080E89"/>
    <w:rsid w:val="00081D1E"/>
    <w:rsid w:val="00086D0E"/>
    <w:rsid w:val="0009687E"/>
    <w:rsid w:val="00096C2C"/>
    <w:rsid w:val="000A49BE"/>
    <w:rsid w:val="000D14B4"/>
    <w:rsid w:val="000D4A65"/>
    <w:rsid w:val="000E3439"/>
    <w:rsid w:val="001079FC"/>
    <w:rsid w:val="001113B9"/>
    <w:rsid w:val="001205AB"/>
    <w:rsid w:val="001224A5"/>
    <w:rsid w:val="00123EB0"/>
    <w:rsid w:val="00127C8D"/>
    <w:rsid w:val="00152CD9"/>
    <w:rsid w:val="00162DD0"/>
    <w:rsid w:val="00171241"/>
    <w:rsid w:val="00175D5E"/>
    <w:rsid w:val="00182E57"/>
    <w:rsid w:val="001A47F9"/>
    <w:rsid w:val="001B64B0"/>
    <w:rsid w:val="001B6CEC"/>
    <w:rsid w:val="001B7D8C"/>
    <w:rsid w:val="001C22AF"/>
    <w:rsid w:val="001D153B"/>
    <w:rsid w:val="001D5681"/>
    <w:rsid w:val="001E7D7E"/>
    <w:rsid w:val="00225CB3"/>
    <w:rsid w:val="0023330A"/>
    <w:rsid w:val="002442DD"/>
    <w:rsid w:val="00261A70"/>
    <w:rsid w:val="00262FB5"/>
    <w:rsid w:val="00266304"/>
    <w:rsid w:val="002673FA"/>
    <w:rsid w:val="002748B4"/>
    <w:rsid w:val="002771D8"/>
    <w:rsid w:val="00282E83"/>
    <w:rsid w:val="002A2C28"/>
    <w:rsid w:val="002B38B1"/>
    <w:rsid w:val="002B4E02"/>
    <w:rsid w:val="002C78D0"/>
    <w:rsid w:val="00303A6C"/>
    <w:rsid w:val="00333EB1"/>
    <w:rsid w:val="00346414"/>
    <w:rsid w:val="0037461D"/>
    <w:rsid w:val="00382764"/>
    <w:rsid w:val="003A45DE"/>
    <w:rsid w:val="003A5968"/>
    <w:rsid w:val="003B195C"/>
    <w:rsid w:val="003F1407"/>
    <w:rsid w:val="004110A9"/>
    <w:rsid w:val="004166D2"/>
    <w:rsid w:val="004177F0"/>
    <w:rsid w:val="004201B7"/>
    <w:rsid w:val="00427116"/>
    <w:rsid w:val="00444E71"/>
    <w:rsid w:val="0046003F"/>
    <w:rsid w:val="00473E01"/>
    <w:rsid w:val="004B46F5"/>
    <w:rsid w:val="004C1829"/>
    <w:rsid w:val="004C4660"/>
    <w:rsid w:val="004D64F2"/>
    <w:rsid w:val="004E08DF"/>
    <w:rsid w:val="004E57A1"/>
    <w:rsid w:val="004F0758"/>
    <w:rsid w:val="0050166C"/>
    <w:rsid w:val="00512417"/>
    <w:rsid w:val="00522990"/>
    <w:rsid w:val="005318C9"/>
    <w:rsid w:val="00533F95"/>
    <w:rsid w:val="00537CE1"/>
    <w:rsid w:val="00553A17"/>
    <w:rsid w:val="00565EA8"/>
    <w:rsid w:val="005745D8"/>
    <w:rsid w:val="005B1051"/>
    <w:rsid w:val="005B2651"/>
    <w:rsid w:val="005C1432"/>
    <w:rsid w:val="005D191C"/>
    <w:rsid w:val="005D34A2"/>
    <w:rsid w:val="005F2B47"/>
    <w:rsid w:val="005F382D"/>
    <w:rsid w:val="005F3B82"/>
    <w:rsid w:val="00622AA0"/>
    <w:rsid w:val="006251D9"/>
    <w:rsid w:val="00625B23"/>
    <w:rsid w:val="0065615A"/>
    <w:rsid w:val="00657868"/>
    <w:rsid w:val="006717C8"/>
    <w:rsid w:val="0067622F"/>
    <w:rsid w:val="00684B9C"/>
    <w:rsid w:val="00697FAD"/>
    <w:rsid w:val="006C2DA1"/>
    <w:rsid w:val="006C3C54"/>
    <w:rsid w:val="006C6559"/>
    <w:rsid w:val="006D3857"/>
    <w:rsid w:val="006E1DFF"/>
    <w:rsid w:val="007101E6"/>
    <w:rsid w:val="007131E8"/>
    <w:rsid w:val="00717E6E"/>
    <w:rsid w:val="007209F1"/>
    <w:rsid w:val="00720C0A"/>
    <w:rsid w:val="007212A1"/>
    <w:rsid w:val="007326EF"/>
    <w:rsid w:val="0073420A"/>
    <w:rsid w:val="007358FB"/>
    <w:rsid w:val="00756F2F"/>
    <w:rsid w:val="00772E46"/>
    <w:rsid w:val="00774D99"/>
    <w:rsid w:val="007803D8"/>
    <w:rsid w:val="007814D0"/>
    <w:rsid w:val="00782119"/>
    <w:rsid w:val="00782587"/>
    <w:rsid w:val="007851D4"/>
    <w:rsid w:val="00795F5F"/>
    <w:rsid w:val="007A4A00"/>
    <w:rsid w:val="007A5191"/>
    <w:rsid w:val="007B142B"/>
    <w:rsid w:val="007B2B68"/>
    <w:rsid w:val="007F03DD"/>
    <w:rsid w:val="0083197E"/>
    <w:rsid w:val="00832877"/>
    <w:rsid w:val="008556FB"/>
    <w:rsid w:val="008608F6"/>
    <w:rsid w:val="00871D81"/>
    <w:rsid w:val="00886009"/>
    <w:rsid w:val="008A2B51"/>
    <w:rsid w:val="008A57E0"/>
    <w:rsid w:val="008A5D1D"/>
    <w:rsid w:val="008B3459"/>
    <w:rsid w:val="008B6205"/>
    <w:rsid w:val="008C4160"/>
    <w:rsid w:val="008D0E1D"/>
    <w:rsid w:val="008D6BA5"/>
    <w:rsid w:val="008E36F9"/>
    <w:rsid w:val="00901A77"/>
    <w:rsid w:val="00925905"/>
    <w:rsid w:val="0095460F"/>
    <w:rsid w:val="0095719B"/>
    <w:rsid w:val="00975EAC"/>
    <w:rsid w:val="0098176D"/>
    <w:rsid w:val="009D62B0"/>
    <w:rsid w:val="009F1B84"/>
    <w:rsid w:val="009F3B14"/>
    <w:rsid w:val="009F4B88"/>
    <w:rsid w:val="009F746C"/>
    <w:rsid w:val="00A000EE"/>
    <w:rsid w:val="00A00698"/>
    <w:rsid w:val="00A050F5"/>
    <w:rsid w:val="00A07897"/>
    <w:rsid w:val="00A10744"/>
    <w:rsid w:val="00A120D5"/>
    <w:rsid w:val="00A3099D"/>
    <w:rsid w:val="00A3776D"/>
    <w:rsid w:val="00A44CCC"/>
    <w:rsid w:val="00A51469"/>
    <w:rsid w:val="00A66B3D"/>
    <w:rsid w:val="00A87B90"/>
    <w:rsid w:val="00A92297"/>
    <w:rsid w:val="00A934CA"/>
    <w:rsid w:val="00AB0325"/>
    <w:rsid w:val="00AD0A03"/>
    <w:rsid w:val="00AE02B8"/>
    <w:rsid w:val="00B026BC"/>
    <w:rsid w:val="00B02B96"/>
    <w:rsid w:val="00B34216"/>
    <w:rsid w:val="00B405E4"/>
    <w:rsid w:val="00B55E47"/>
    <w:rsid w:val="00B6487D"/>
    <w:rsid w:val="00B75077"/>
    <w:rsid w:val="00B96349"/>
    <w:rsid w:val="00BB265B"/>
    <w:rsid w:val="00BB506C"/>
    <w:rsid w:val="00BC53CF"/>
    <w:rsid w:val="00BC661C"/>
    <w:rsid w:val="00BC6C81"/>
    <w:rsid w:val="00BD3BF1"/>
    <w:rsid w:val="00BD4DC0"/>
    <w:rsid w:val="00C036FD"/>
    <w:rsid w:val="00C1607C"/>
    <w:rsid w:val="00C21D24"/>
    <w:rsid w:val="00C22BEF"/>
    <w:rsid w:val="00C24743"/>
    <w:rsid w:val="00C332A2"/>
    <w:rsid w:val="00C34C0B"/>
    <w:rsid w:val="00C4437D"/>
    <w:rsid w:val="00C6049C"/>
    <w:rsid w:val="00C658AE"/>
    <w:rsid w:val="00C76189"/>
    <w:rsid w:val="00C86962"/>
    <w:rsid w:val="00C92834"/>
    <w:rsid w:val="00CA0F98"/>
    <w:rsid w:val="00CC12CB"/>
    <w:rsid w:val="00CD4154"/>
    <w:rsid w:val="00CE66E5"/>
    <w:rsid w:val="00CF5FBE"/>
    <w:rsid w:val="00D050E9"/>
    <w:rsid w:val="00D2192B"/>
    <w:rsid w:val="00D260F2"/>
    <w:rsid w:val="00D319E6"/>
    <w:rsid w:val="00D341FD"/>
    <w:rsid w:val="00D40BAA"/>
    <w:rsid w:val="00D467DA"/>
    <w:rsid w:val="00D54D4E"/>
    <w:rsid w:val="00D61E68"/>
    <w:rsid w:val="00D62964"/>
    <w:rsid w:val="00D75B6A"/>
    <w:rsid w:val="00DA0B20"/>
    <w:rsid w:val="00DB4BED"/>
    <w:rsid w:val="00DD41BF"/>
    <w:rsid w:val="00E03C56"/>
    <w:rsid w:val="00E21C14"/>
    <w:rsid w:val="00E21EA0"/>
    <w:rsid w:val="00E3377D"/>
    <w:rsid w:val="00E43000"/>
    <w:rsid w:val="00E451FB"/>
    <w:rsid w:val="00E53387"/>
    <w:rsid w:val="00E54A9F"/>
    <w:rsid w:val="00E73D98"/>
    <w:rsid w:val="00E8663F"/>
    <w:rsid w:val="00E90A1E"/>
    <w:rsid w:val="00EB0D8F"/>
    <w:rsid w:val="00ED2FA5"/>
    <w:rsid w:val="00EF3BF3"/>
    <w:rsid w:val="00F04700"/>
    <w:rsid w:val="00F117A5"/>
    <w:rsid w:val="00F412A3"/>
    <w:rsid w:val="00F522EF"/>
    <w:rsid w:val="00F72506"/>
    <w:rsid w:val="00F7297C"/>
    <w:rsid w:val="00F76D60"/>
    <w:rsid w:val="00F87472"/>
    <w:rsid w:val="00FA65EB"/>
    <w:rsid w:val="00FA6E11"/>
    <w:rsid w:val="00FB52DE"/>
    <w:rsid w:val="00FC07EA"/>
    <w:rsid w:val="00FC2E47"/>
    <w:rsid w:val="00FC63B7"/>
    <w:rsid w:val="00FD7BF5"/>
    <w:rsid w:val="00FE7DE4"/>
    <w:rsid w:val="00FF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BADFD"/>
  <w15:chartTrackingRefBased/>
  <w15:docId w15:val="{88271E18-2293-4433-A3CA-377EDB24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4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4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F4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4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F4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4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F4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B88"/>
    <w:rPr>
      <w:rFonts w:eastAsiaTheme="majorEastAsia" w:cstheme="majorBidi"/>
      <w:color w:val="272727" w:themeColor="text1" w:themeTint="D8"/>
    </w:rPr>
  </w:style>
  <w:style w:type="paragraph" w:styleId="Title">
    <w:name w:val="Title"/>
    <w:basedOn w:val="Normal"/>
    <w:next w:val="Normal"/>
    <w:link w:val="TitleChar"/>
    <w:uiPriority w:val="10"/>
    <w:qFormat/>
    <w:rsid w:val="009F4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B88"/>
    <w:pPr>
      <w:spacing w:before="160"/>
      <w:jc w:val="center"/>
    </w:pPr>
    <w:rPr>
      <w:i/>
      <w:iCs/>
      <w:color w:val="404040" w:themeColor="text1" w:themeTint="BF"/>
    </w:rPr>
  </w:style>
  <w:style w:type="character" w:customStyle="1" w:styleId="QuoteChar">
    <w:name w:val="Quote Char"/>
    <w:basedOn w:val="DefaultParagraphFont"/>
    <w:link w:val="Quote"/>
    <w:uiPriority w:val="29"/>
    <w:rsid w:val="009F4B88"/>
    <w:rPr>
      <w:i/>
      <w:iCs/>
      <w:color w:val="404040" w:themeColor="text1" w:themeTint="BF"/>
    </w:rPr>
  </w:style>
  <w:style w:type="paragraph" w:styleId="ListParagraph">
    <w:name w:val="List Paragraph"/>
    <w:basedOn w:val="Normal"/>
    <w:uiPriority w:val="34"/>
    <w:qFormat/>
    <w:rsid w:val="009F4B88"/>
    <w:pPr>
      <w:ind w:left="720"/>
      <w:contextualSpacing/>
    </w:pPr>
  </w:style>
  <w:style w:type="character" w:styleId="IntenseEmphasis">
    <w:name w:val="Intense Emphasis"/>
    <w:basedOn w:val="DefaultParagraphFont"/>
    <w:uiPriority w:val="21"/>
    <w:qFormat/>
    <w:rsid w:val="009F4B88"/>
    <w:rPr>
      <w:i/>
      <w:iCs/>
      <w:color w:val="0F4761" w:themeColor="accent1" w:themeShade="BF"/>
    </w:rPr>
  </w:style>
  <w:style w:type="paragraph" w:styleId="IntenseQuote">
    <w:name w:val="Intense Quote"/>
    <w:basedOn w:val="Normal"/>
    <w:next w:val="Normal"/>
    <w:link w:val="IntenseQuoteChar"/>
    <w:uiPriority w:val="30"/>
    <w:qFormat/>
    <w:rsid w:val="009F4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B88"/>
    <w:rPr>
      <w:i/>
      <w:iCs/>
      <w:color w:val="0F4761" w:themeColor="accent1" w:themeShade="BF"/>
    </w:rPr>
  </w:style>
  <w:style w:type="character" w:styleId="IntenseReference">
    <w:name w:val="Intense Reference"/>
    <w:basedOn w:val="DefaultParagraphFont"/>
    <w:uiPriority w:val="32"/>
    <w:qFormat/>
    <w:rsid w:val="009F4B88"/>
    <w:rPr>
      <w:b/>
      <w:bCs/>
      <w:smallCaps/>
      <w:color w:val="0F4761" w:themeColor="accent1" w:themeShade="BF"/>
      <w:spacing w:val="5"/>
    </w:rPr>
  </w:style>
  <w:style w:type="numbering" w:customStyle="1" w:styleId="NoList1">
    <w:name w:val="No List1"/>
    <w:next w:val="NoList"/>
    <w:uiPriority w:val="99"/>
    <w:semiHidden/>
    <w:unhideWhenUsed/>
    <w:rsid w:val="009F4B88"/>
  </w:style>
  <w:style w:type="table" w:styleId="TableGrid">
    <w:name w:val="Table Grid"/>
    <w:basedOn w:val="TableNormal"/>
    <w:uiPriority w:val="39"/>
    <w:rsid w:val="009F4B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ArticleTitle">
    <w:name w:val="White Article Title"/>
    <w:basedOn w:val="Normal"/>
    <w:next w:val="Normal"/>
    <w:qFormat/>
    <w:rsid w:val="009F4B88"/>
    <w:pPr>
      <w:spacing w:after="0" w:line="240" w:lineRule="auto"/>
    </w:pPr>
    <w:rPr>
      <w:rFonts w:ascii="Source Sans Pro Black" w:hAnsi="Source Sans Pro Black"/>
      <w:color w:val="FFFFFF"/>
      <w:kern w:val="0"/>
      <w:sz w:val="72"/>
      <w14:ligatures w14:val="none"/>
    </w:rPr>
  </w:style>
  <w:style w:type="paragraph" w:customStyle="1" w:styleId="PullQuoteAttribution">
    <w:name w:val="Pull Quote Attribution"/>
    <w:basedOn w:val="PullQuote"/>
    <w:qFormat/>
    <w:rsid w:val="009F4B88"/>
    <w:rPr>
      <w:sz w:val="28"/>
      <w:szCs w:val="28"/>
    </w:rPr>
  </w:style>
  <w:style w:type="paragraph" w:styleId="NormalWeb">
    <w:name w:val="Normal (Web)"/>
    <w:basedOn w:val="Normal"/>
    <w:uiPriority w:val="99"/>
    <w:rsid w:val="009F4B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F4B88"/>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9F4B88"/>
    <w:rPr>
      <w:kern w:val="0"/>
      <w14:ligatures w14:val="none"/>
    </w:rPr>
  </w:style>
  <w:style w:type="paragraph" w:customStyle="1" w:styleId="Footer1">
    <w:name w:val="Footer1"/>
    <w:basedOn w:val="WhitePageNumber"/>
    <w:next w:val="Footer"/>
    <w:link w:val="FooterChar"/>
    <w:uiPriority w:val="99"/>
    <w:unhideWhenUsed/>
    <w:rsid w:val="009F4B88"/>
    <w:rPr>
      <w:rFonts w:asciiTheme="minorHAnsi" w:hAnsiTheme="minorHAnsi"/>
      <w:kern w:val="2"/>
      <w14:ligatures w14:val="standardContextual"/>
    </w:rPr>
  </w:style>
  <w:style w:type="table" w:customStyle="1" w:styleId="TableGrid1">
    <w:name w:val="Table Grid1"/>
    <w:basedOn w:val="TableNormal"/>
    <w:next w:val="TableGrid"/>
    <w:uiPriority w:val="39"/>
    <w:rsid w:val="009F4B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ckArticleTitle">
    <w:name w:val="Black Article Title"/>
    <w:basedOn w:val="Normal"/>
    <w:qFormat/>
    <w:rsid w:val="009F4B88"/>
    <w:pPr>
      <w:spacing w:after="0" w:line="240" w:lineRule="auto"/>
    </w:pPr>
    <w:rPr>
      <w:rFonts w:ascii="Source Sans Pro Black" w:hAnsi="Source Sans Pro Black"/>
      <w:kern w:val="0"/>
      <w:sz w:val="48"/>
      <w:szCs w:val="48"/>
      <w14:ligatures w14:val="none"/>
    </w:rPr>
  </w:style>
  <w:style w:type="paragraph" w:customStyle="1" w:styleId="BlackArticleSubtitle">
    <w:name w:val="Black Article Subtitle"/>
    <w:basedOn w:val="Normal"/>
    <w:qFormat/>
    <w:rsid w:val="009F4B88"/>
    <w:pPr>
      <w:spacing w:after="0" w:line="240" w:lineRule="auto"/>
    </w:pPr>
    <w:rPr>
      <w:rFonts w:ascii="Source Sans Pro" w:hAnsi="Source Sans Pro"/>
      <w:b/>
      <w:bCs/>
      <w:kern w:val="0"/>
      <w:sz w:val="40"/>
      <w:szCs w:val="40"/>
      <w14:ligatures w14:val="none"/>
    </w:rPr>
  </w:style>
  <w:style w:type="paragraph" w:customStyle="1" w:styleId="AuthorName">
    <w:name w:val="Author Name"/>
    <w:basedOn w:val="Normal"/>
    <w:qFormat/>
    <w:rsid w:val="009F4B88"/>
    <w:pPr>
      <w:spacing w:after="0" w:line="240" w:lineRule="auto"/>
    </w:pPr>
    <w:rPr>
      <w:rFonts w:ascii="Source Sans Pro Black" w:hAnsi="Source Sans Pro Black"/>
      <w:caps/>
      <w:color w:val="ED7D31"/>
      <w:kern w:val="0"/>
      <w:sz w:val="32"/>
      <w:szCs w:val="32"/>
      <w14:ligatures w14:val="none"/>
    </w:rPr>
  </w:style>
  <w:style w:type="paragraph" w:customStyle="1" w:styleId="WhiteArticleSubtitle">
    <w:name w:val="White Article Subtitle"/>
    <w:basedOn w:val="Normal"/>
    <w:qFormat/>
    <w:rsid w:val="009F4B88"/>
    <w:pPr>
      <w:spacing w:after="0" w:line="240" w:lineRule="auto"/>
    </w:pPr>
    <w:rPr>
      <w:rFonts w:ascii="Source Sans Pro Black" w:hAnsi="Source Sans Pro Black"/>
      <w:b/>
      <w:color w:val="FFFFFF"/>
      <w:kern w:val="0"/>
      <w:sz w:val="56"/>
      <w14:ligatures w14:val="none"/>
    </w:rPr>
  </w:style>
  <w:style w:type="paragraph" w:customStyle="1" w:styleId="BodyCopy">
    <w:name w:val="Body Copy"/>
    <w:basedOn w:val="Normal"/>
    <w:qFormat/>
    <w:rsid w:val="009F4B88"/>
    <w:pPr>
      <w:spacing w:before="100" w:beforeAutospacing="1" w:after="100" w:afterAutospacing="1" w:line="240" w:lineRule="auto"/>
    </w:pPr>
    <w:rPr>
      <w:rFonts w:eastAsia="Times New Roman" w:cs="Times New Roman"/>
      <w:color w:val="000000"/>
      <w:kern w:val="0"/>
      <w:szCs w:val="24"/>
      <w14:ligatures w14:val="none"/>
    </w:rPr>
  </w:style>
  <w:style w:type="paragraph" w:customStyle="1" w:styleId="SmallWhiteArticleTitle">
    <w:name w:val="Small White Article Title"/>
    <w:basedOn w:val="Normal"/>
    <w:qFormat/>
    <w:rsid w:val="009F4B88"/>
    <w:pPr>
      <w:spacing w:after="0" w:line="240" w:lineRule="auto"/>
    </w:pPr>
    <w:rPr>
      <w:rFonts w:ascii="Source Sans Pro Black" w:hAnsi="Source Sans Pro Black"/>
      <w:color w:val="FFFFFF"/>
      <w:kern w:val="0"/>
      <w:sz w:val="48"/>
      <w:szCs w:val="48"/>
      <w14:ligatures w14:val="none"/>
    </w:rPr>
  </w:style>
  <w:style w:type="paragraph" w:customStyle="1" w:styleId="SmallWhiteArticleSubtitle">
    <w:name w:val="Small White Article Subtitle"/>
    <w:basedOn w:val="Normal"/>
    <w:qFormat/>
    <w:rsid w:val="009F4B88"/>
    <w:pPr>
      <w:spacing w:after="0" w:line="240" w:lineRule="auto"/>
    </w:pPr>
    <w:rPr>
      <w:rFonts w:ascii="Source Sans Pro" w:hAnsi="Source Sans Pro"/>
      <w:color w:val="FFFFFF"/>
      <w:kern w:val="0"/>
      <w:sz w:val="40"/>
      <w:szCs w:val="40"/>
      <w14:ligatures w14:val="none"/>
    </w:rPr>
  </w:style>
  <w:style w:type="paragraph" w:customStyle="1" w:styleId="WhiteAuthorName">
    <w:name w:val="White Author Name"/>
    <w:basedOn w:val="Normal"/>
    <w:qFormat/>
    <w:rsid w:val="009F4B88"/>
    <w:pPr>
      <w:spacing w:after="0" w:line="240" w:lineRule="auto"/>
    </w:pPr>
    <w:rPr>
      <w:rFonts w:ascii="Source Sans Pro Black" w:hAnsi="Source Sans Pro Black"/>
      <w:caps/>
      <w:color w:val="FFFFFF"/>
      <w:kern w:val="0"/>
      <w:sz w:val="32"/>
      <w:szCs w:val="32"/>
      <w14:ligatures w14:val="none"/>
    </w:rPr>
  </w:style>
  <w:style w:type="paragraph" w:customStyle="1" w:styleId="WhiteBodyCopy">
    <w:name w:val="White Body Copy"/>
    <w:basedOn w:val="Normal"/>
    <w:qFormat/>
    <w:rsid w:val="009F4B88"/>
    <w:pPr>
      <w:spacing w:after="240" w:line="240" w:lineRule="auto"/>
    </w:pPr>
    <w:rPr>
      <w:rFonts w:ascii="Times New Roman" w:eastAsia="Times New Roman" w:hAnsi="Times New Roman" w:cs="Times New Roman"/>
      <w:color w:val="FFFFFF"/>
      <w:kern w:val="0"/>
      <w:szCs w:val="24"/>
      <w14:ligatures w14:val="none"/>
    </w:rPr>
  </w:style>
  <w:style w:type="paragraph" w:customStyle="1" w:styleId="PhotoCaption">
    <w:name w:val="Photo Caption"/>
    <w:basedOn w:val="Normal"/>
    <w:qFormat/>
    <w:rsid w:val="009F4B88"/>
    <w:pPr>
      <w:spacing w:after="0" w:line="240" w:lineRule="auto"/>
    </w:pPr>
    <w:rPr>
      <w:kern w:val="0"/>
      <w:sz w:val="18"/>
      <w14:ligatures w14:val="none"/>
    </w:rPr>
  </w:style>
  <w:style w:type="paragraph" w:customStyle="1" w:styleId="PullQuote">
    <w:name w:val="Pull Quote"/>
    <w:basedOn w:val="Normal"/>
    <w:qFormat/>
    <w:rsid w:val="009F4B88"/>
    <w:pPr>
      <w:spacing w:before="100" w:beforeAutospacing="1" w:after="100" w:afterAutospacing="1" w:line="240" w:lineRule="auto"/>
      <w:jc w:val="center"/>
    </w:pPr>
    <w:rPr>
      <w:rFonts w:ascii="Source Sans Pro Black" w:eastAsia="Times New Roman" w:hAnsi="Source Sans Pro Black" w:cs="Times New Roman"/>
      <w:color w:val="FFFFFF"/>
      <w:kern w:val="0"/>
      <w:sz w:val="32"/>
      <w:szCs w:val="36"/>
      <w14:ligatures w14:val="none"/>
    </w:rPr>
  </w:style>
  <w:style w:type="paragraph" w:customStyle="1" w:styleId="HeaderNewspaperName">
    <w:name w:val="Header Newspaper Name"/>
    <w:basedOn w:val="Normal"/>
    <w:qFormat/>
    <w:rsid w:val="009F4B88"/>
    <w:pPr>
      <w:spacing w:after="0" w:line="240" w:lineRule="auto"/>
      <w:jc w:val="center"/>
    </w:pPr>
    <w:rPr>
      <w:rFonts w:ascii="Source Sans Pro Black" w:eastAsia="Baskerville Old Face" w:hAnsi="Source Sans Pro Black" w:cs="Times New Roman"/>
      <w:color w:val="FFFFFF"/>
      <w:kern w:val="0"/>
      <w:sz w:val="52"/>
      <w:szCs w:val="52"/>
      <w14:ligatures w14:val="none"/>
    </w:rPr>
  </w:style>
  <w:style w:type="paragraph" w:customStyle="1" w:styleId="HeaderSmallText">
    <w:name w:val="Header Small Text"/>
    <w:basedOn w:val="Normal"/>
    <w:qFormat/>
    <w:rsid w:val="009F4B88"/>
    <w:pPr>
      <w:spacing w:after="0" w:line="240" w:lineRule="auto"/>
      <w:jc w:val="center"/>
    </w:pPr>
    <w:rPr>
      <w:rFonts w:ascii="Source Sans Pro" w:eastAsia="Baskerville Old Face" w:hAnsi="Source Sans Pro" w:cs="Times New Roman"/>
      <w:color w:val="FFFFFF"/>
      <w:kern w:val="0"/>
      <w14:ligatures w14:val="none"/>
    </w:rPr>
  </w:style>
  <w:style w:type="paragraph" w:customStyle="1" w:styleId="NewspaperMasthead">
    <w:name w:val="Newspaper Masthead"/>
    <w:basedOn w:val="Normal"/>
    <w:qFormat/>
    <w:rsid w:val="009F4B88"/>
    <w:pPr>
      <w:spacing w:after="0" w:line="240" w:lineRule="auto"/>
      <w:jc w:val="center"/>
    </w:pPr>
    <w:rPr>
      <w:rFonts w:ascii="Source Sans Pro Black" w:hAnsi="Source Sans Pro Black"/>
      <w:b/>
      <w:bCs/>
      <w:color w:val="FFFFFF"/>
      <w:kern w:val="0"/>
      <w:sz w:val="150"/>
      <w:szCs w:val="150"/>
      <w14:ligatures w14:val="none"/>
    </w:rPr>
  </w:style>
  <w:style w:type="paragraph" w:customStyle="1" w:styleId="NewspaperMastheadInfo">
    <w:name w:val="Newspaper Masthead Info"/>
    <w:basedOn w:val="Normal"/>
    <w:qFormat/>
    <w:rsid w:val="009F4B88"/>
    <w:pPr>
      <w:spacing w:after="0" w:line="240" w:lineRule="auto"/>
      <w:jc w:val="center"/>
    </w:pPr>
    <w:rPr>
      <w:rFonts w:ascii="Source Sans Pro" w:hAnsi="Source Sans Pro"/>
      <w:b/>
      <w:color w:val="ED7D31"/>
      <w:kern w:val="0"/>
      <w:sz w:val="28"/>
      <w:szCs w:val="36"/>
      <w14:ligatures w14:val="none"/>
    </w:rPr>
  </w:style>
  <w:style w:type="character" w:customStyle="1" w:styleId="FooterChar">
    <w:name w:val="Footer Char"/>
    <w:basedOn w:val="DefaultParagraphFont"/>
    <w:link w:val="Footer1"/>
    <w:uiPriority w:val="99"/>
    <w:rsid w:val="009F4B88"/>
    <w:rPr>
      <w:rFonts w:eastAsia="Baskerville Old Face" w:cs="Times New Roman"/>
      <w:color w:val="FFFFFF"/>
      <w:sz w:val="24"/>
      <w:szCs w:val="24"/>
    </w:rPr>
  </w:style>
  <w:style w:type="paragraph" w:customStyle="1" w:styleId="WhitePageNumber">
    <w:name w:val="White Page Number"/>
    <w:basedOn w:val="HeaderSmallText"/>
    <w:qFormat/>
    <w:rsid w:val="009F4B88"/>
    <w:rPr>
      <w:sz w:val="24"/>
      <w:szCs w:val="24"/>
    </w:rPr>
  </w:style>
  <w:style w:type="character" w:styleId="PlaceholderText">
    <w:name w:val="Placeholder Text"/>
    <w:basedOn w:val="DefaultParagraphFont"/>
    <w:uiPriority w:val="99"/>
    <w:semiHidden/>
    <w:rsid w:val="009F4B88"/>
    <w:rPr>
      <w:color w:val="808080"/>
    </w:rPr>
  </w:style>
  <w:style w:type="paragraph" w:styleId="NoSpacing">
    <w:name w:val="No Spacing"/>
    <w:basedOn w:val="Normal"/>
    <w:link w:val="NoSpacingChar"/>
    <w:uiPriority w:val="1"/>
    <w:qFormat/>
    <w:rsid w:val="009F4B88"/>
    <w:pPr>
      <w:spacing w:after="0" w:line="240" w:lineRule="auto"/>
    </w:pPr>
    <w:rPr>
      <w:kern w:val="0"/>
      <w14:ligatures w14:val="none"/>
    </w:rPr>
  </w:style>
  <w:style w:type="character" w:customStyle="1" w:styleId="Whitetext">
    <w:name w:val="White text"/>
    <w:uiPriority w:val="1"/>
    <w:qFormat/>
    <w:rsid w:val="009F4B88"/>
    <w:rPr>
      <w:color w:val="FFFFFF"/>
    </w:rPr>
  </w:style>
  <w:style w:type="character" w:customStyle="1" w:styleId="Hyperlink1">
    <w:name w:val="Hyperlink1"/>
    <w:basedOn w:val="DefaultParagraphFont"/>
    <w:uiPriority w:val="99"/>
    <w:unhideWhenUsed/>
    <w:rsid w:val="009F4B88"/>
    <w:rPr>
      <w:color w:val="0563C1"/>
      <w:u w:val="single"/>
    </w:rPr>
  </w:style>
  <w:style w:type="character" w:styleId="UnresolvedMention">
    <w:name w:val="Unresolved Mention"/>
    <w:basedOn w:val="DefaultParagraphFont"/>
    <w:uiPriority w:val="99"/>
    <w:semiHidden/>
    <w:unhideWhenUsed/>
    <w:rsid w:val="009F4B88"/>
    <w:rPr>
      <w:color w:val="605E5C"/>
      <w:shd w:val="clear" w:color="auto" w:fill="E1DFDD"/>
    </w:rPr>
  </w:style>
  <w:style w:type="paragraph" w:styleId="TOCHeading">
    <w:name w:val="TOC Heading"/>
    <w:basedOn w:val="Heading1"/>
    <w:next w:val="Normal"/>
    <w:uiPriority w:val="39"/>
    <w:unhideWhenUsed/>
    <w:qFormat/>
    <w:rsid w:val="009F4B88"/>
    <w:pPr>
      <w:spacing w:before="240" w:after="0"/>
      <w:outlineLvl w:val="9"/>
    </w:pPr>
    <w:rPr>
      <w:kern w:val="0"/>
      <w:sz w:val="32"/>
      <w:szCs w:val="32"/>
      <w14:ligatures w14:val="none"/>
    </w:rPr>
  </w:style>
  <w:style w:type="paragraph" w:customStyle="1" w:styleId="TOC21">
    <w:name w:val="TOC 21"/>
    <w:basedOn w:val="Normal"/>
    <w:next w:val="Normal"/>
    <w:autoRedefine/>
    <w:uiPriority w:val="39"/>
    <w:unhideWhenUsed/>
    <w:rsid w:val="009F4B88"/>
    <w:pPr>
      <w:spacing w:after="100"/>
      <w:ind w:left="220"/>
    </w:pPr>
    <w:rPr>
      <w:rFonts w:eastAsia="Times New Roman" w:cs="Times New Roman"/>
      <w:kern w:val="0"/>
      <w14:ligatures w14:val="none"/>
    </w:rPr>
  </w:style>
  <w:style w:type="paragraph" w:customStyle="1" w:styleId="TOC11">
    <w:name w:val="TOC 11"/>
    <w:basedOn w:val="Normal"/>
    <w:next w:val="Normal"/>
    <w:autoRedefine/>
    <w:uiPriority w:val="39"/>
    <w:unhideWhenUsed/>
    <w:rsid w:val="009F4B88"/>
    <w:pPr>
      <w:spacing w:after="100"/>
    </w:pPr>
    <w:rPr>
      <w:rFonts w:eastAsia="Times New Roman" w:cs="Times New Roman"/>
      <w:kern w:val="0"/>
      <w14:ligatures w14:val="none"/>
    </w:rPr>
  </w:style>
  <w:style w:type="paragraph" w:customStyle="1" w:styleId="TOC31">
    <w:name w:val="TOC 31"/>
    <w:basedOn w:val="Normal"/>
    <w:next w:val="Normal"/>
    <w:autoRedefine/>
    <w:uiPriority w:val="39"/>
    <w:unhideWhenUsed/>
    <w:rsid w:val="009F4B88"/>
    <w:pPr>
      <w:spacing w:after="100"/>
      <w:ind w:left="440"/>
    </w:pPr>
    <w:rPr>
      <w:rFonts w:eastAsia="Times New Roman" w:cs="Times New Roman"/>
      <w:kern w:val="0"/>
      <w14:ligatures w14:val="none"/>
    </w:rPr>
  </w:style>
  <w:style w:type="character" w:customStyle="1" w:styleId="NoSpacingChar">
    <w:name w:val="No Spacing Char"/>
    <w:basedOn w:val="DefaultParagraphFont"/>
    <w:link w:val="NoSpacing"/>
    <w:uiPriority w:val="1"/>
    <w:rsid w:val="009F4B88"/>
    <w:rPr>
      <w:kern w:val="0"/>
      <w14:ligatures w14:val="none"/>
    </w:rPr>
  </w:style>
  <w:style w:type="character" w:styleId="BookTitle">
    <w:name w:val="Book Title"/>
    <w:basedOn w:val="DefaultParagraphFont"/>
    <w:uiPriority w:val="33"/>
    <w:qFormat/>
    <w:rsid w:val="009F4B88"/>
    <w:rPr>
      <w:b/>
      <w:bCs/>
      <w:i/>
      <w:iCs/>
      <w:spacing w:val="5"/>
    </w:rPr>
  </w:style>
  <w:style w:type="paragraph" w:styleId="EndnoteText">
    <w:name w:val="endnote text"/>
    <w:basedOn w:val="Normal"/>
    <w:link w:val="EndnoteTextChar"/>
    <w:uiPriority w:val="99"/>
    <w:semiHidden/>
    <w:unhideWhenUsed/>
    <w:rsid w:val="009F4B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4B88"/>
    <w:rPr>
      <w:sz w:val="20"/>
      <w:szCs w:val="20"/>
    </w:rPr>
  </w:style>
  <w:style w:type="character" w:styleId="EndnoteReference">
    <w:name w:val="endnote reference"/>
    <w:basedOn w:val="DefaultParagraphFont"/>
    <w:uiPriority w:val="99"/>
    <w:semiHidden/>
    <w:unhideWhenUsed/>
    <w:rsid w:val="009F4B88"/>
    <w:rPr>
      <w:vertAlign w:val="superscript"/>
    </w:rPr>
  </w:style>
  <w:style w:type="paragraph" w:styleId="Footer">
    <w:name w:val="footer"/>
    <w:basedOn w:val="Normal"/>
    <w:link w:val="FooterChar1"/>
    <w:uiPriority w:val="99"/>
    <w:unhideWhenUsed/>
    <w:rsid w:val="009F4B8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F4B88"/>
  </w:style>
  <w:style w:type="character" w:styleId="Hyperlink">
    <w:name w:val="Hyperlink"/>
    <w:basedOn w:val="DefaultParagraphFont"/>
    <w:uiPriority w:val="99"/>
    <w:unhideWhenUsed/>
    <w:rsid w:val="009F4B88"/>
    <w:rPr>
      <w:color w:val="467886" w:themeColor="hyperlink"/>
      <w:u w:val="single"/>
    </w:rPr>
  </w:style>
  <w:style w:type="paragraph" w:styleId="TOC1">
    <w:name w:val="toc 1"/>
    <w:basedOn w:val="Normal"/>
    <w:next w:val="Normal"/>
    <w:autoRedefine/>
    <w:uiPriority w:val="39"/>
    <w:unhideWhenUsed/>
    <w:rsid w:val="007131E8"/>
    <w:pPr>
      <w:tabs>
        <w:tab w:val="right" w:leader="dot" w:pos="9350"/>
      </w:tabs>
      <w:spacing w:after="100"/>
    </w:pPr>
    <w:rPr>
      <w:rFonts w:asciiTheme="majorHAnsi" w:eastAsia="Times New Roman" w:hAnsiTheme="majorHAnsi" w:cs="Times New Roman"/>
      <w:noProof/>
      <w:color w:val="000000" w:themeColor="text1"/>
      <w:kern w:val="0"/>
      <w:sz w:val="28"/>
      <w:szCs w:val="28"/>
      <w14:ligatures w14:val="none"/>
    </w:rPr>
  </w:style>
  <w:style w:type="character" w:styleId="Strong">
    <w:name w:val="Strong"/>
    <w:basedOn w:val="DefaultParagraphFont"/>
    <w:uiPriority w:val="22"/>
    <w:qFormat/>
    <w:rsid w:val="009F4B88"/>
    <w:rPr>
      <w:b/>
      <w:bCs/>
    </w:rPr>
  </w:style>
  <w:style w:type="character" w:styleId="Emphasis">
    <w:name w:val="Emphasis"/>
    <w:basedOn w:val="DefaultParagraphFont"/>
    <w:uiPriority w:val="20"/>
    <w:qFormat/>
    <w:rsid w:val="009F4B88"/>
    <w:rPr>
      <w:i/>
      <w:iCs/>
    </w:rPr>
  </w:style>
  <w:style w:type="paragraph" w:customStyle="1" w:styleId="TOC32">
    <w:name w:val="TOC 32"/>
    <w:basedOn w:val="Normal"/>
    <w:next w:val="Normal"/>
    <w:autoRedefine/>
    <w:uiPriority w:val="39"/>
    <w:unhideWhenUsed/>
    <w:rsid w:val="009F4B88"/>
    <w:pPr>
      <w:spacing w:after="100"/>
      <w:ind w:left="440"/>
    </w:pPr>
  </w:style>
  <w:style w:type="paragraph" w:styleId="TOC2">
    <w:name w:val="toc 2"/>
    <w:basedOn w:val="Normal"/>
    <w:next w:val="Normal"/>
    <w:autoRedefine/>
    <w:uiPriority w:val="39"/>
    <w:unhideWhenUsed/>
    <w:rsid w:val="00756F2F"/>
    <w:pPr>
      <w:tabs>
        <w:tab w:val="right" w:leader="dot" w:pos="9350"/>
      </w:tabs>
      <w:spacing w:after="100"/>
      <w:ind w:left="220"/>
    </w:pPr>
    <w:rPr>
      <w:rFonts w:asciiTheme="majorHAnsi" w:eastAsia="Times New Roman" w:hAnsiTheme="majorHAnsi" w:cstheme="majorBidi"/>
      <w:b/>
      <w:bCs/>
      <w:noProof/>
      <w:color w:val="000000" w:themeColor="text1"/>
      <w:sz w:val="28"/>
      <w:szCs w:val="28"/>
    </w:rPr>
  </w:style>
  <w:style w:type="paragraph" w:styleId="TOC3">
    <w:name w:val="toc 3"/>
    <w:basedOn w:val="Normal"/>
    <w:next w:val="Normal"/>
    <w:autoRedefine/>
    <w:uiPriority w:val="39"/>
    <w:unhideWhenUsed/>
    <w:rsid w:val="00EB0D8F"/>
    <w:pPr>
      <w:spacing w:after="100"/>
      <w:ind w:left="440"/>
    </w:pPr>
    <w:rPr>
      <w:rFonts w:eastAsiaTheme="minorEastAsia" w:cs="Times New Roman"/>
      <w:kern w:val="0"/>
      <w14:ligatures w14:val="none"/>
    </w:rPr>
  </w:style>
  <w:style w:type="paragraph" w:customStyle="1" w:styleId="Standard">
    <w:name w:val="Standard"/>
    <w:rsid w:val="007803D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customStyle="1" w:styleId="Textbody">
    <w:name w:val="Text body"/>
    <w:basedOn w:val="Standard"/>
    <w:rsid w:val="007803D8"/>
    <w:pPr>
      <w:spacing w:after="120"/>
    </w:pPr>
  </w:style>
  <w:style w:type="character" w:customStyle="1" w:styleId="StrongEmphasis">
    <w:name w:val="Strong Emphasis"/>
    <w:rsid w:val="007803D8"/>
    <w:rPr>
      <w:b/>
      <w:bCs/>
    </w:rPr>
  </w:style>
  <w:style w:type="character" w:customStyle="1" w:styleId="apple-converted-space">
    <w:name w:val="apple-converted-space"/>
    <w:basedOn w:val="DefaultParagraphFont"/>
    <w:rsid w:val="004D64F2"/>
  </w:style>
  <w:style w:type="paragraph" w:styleId="TOC4">
    <w:name w:val="toc 4"/>
    <w:basedOn w:val="Normal"/>
    <w:next w:val="Normal"/>
    <w:autoRedefine/>
    <w:uiPriority w:val="39"/>
    <w:unhideWhenUsed/>
    <w:rsid w:val="00182E57"/>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182E57"/>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182E57"/>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182E57"/>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182E57"/>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182E57"/>
    <w:pPr>
      <w:spacing w:after="100" w:line="278" w:lineRule="auto"/>
      <w:ind w:left="192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66252">
      <w:bodyDiv w:val="1"/>
      <w:marLeft w:val="0"/>
      <w:marRight w:val="0"/>
      <w:marTop w:val="0"/>
      <w:marBottom w:val="0"/>
      <w:divBdr>
        <w:top w:val="none" w:sz="0" w:space="0" w:color="auto"/>
        <w:left w:val="none" w:sz="0" w:space="0" w:color="auto"/>
        <w:bottom w:val="none" w:sz="0" w:space="0" w:color="auto"/>
        <w:right w:val="none" w:sz="0" w:space="0" w:color="auto"/>
      </w:divBdr>
    </w:div>
    <w:div w:id="174081854">
      <w:bodyDiv w:val="1"/>
      <w:marLeft w:val="0"/>
      <w:marRight w:val="0"/>
      <w:marTop w:val="0"/>
      <w:marBottom w:val="0"/>
      <w:divBdr>
        <w:top w:val="none" w:sz="0" w:space="0" w:color="auto"/>
        <w:left w:val="none" w:sz="0" w:space="0" w:color="auto"/>
        <w:bottom w:val="none" w:sz="0" w:space="0" w:color="auto"/>
        <w:right w:val="none" w:sz="0" w:space="0" w:color="auto"/>
      </w:divBdr>
    </w:div>
    <w:div w:id="571624132">
      <w:bodyDiv w:val="1"/>
      <w:marLeft w:val="0"/>
      <w:marRight w:val="0"/>
      <w:marTop w:val="0"/>
      <w:marBottom w:val="0"/>
      <w:divBdr>
        <w:top w:val="none" w:sz="0" w:space="0" w:color="auto"/>
        <w:left w:val="none" w:sz="0" w:space="0" w:color="auto"/>
        <w:bottom w:val="none" w:sz="0" w:space="0" w:color="auto"/>
        <w:right w:val="none" w:sz="0" w:space="0" w:color="auto"/>
      </w:divBdr>
    </w:div>
    <w:div w:id="742987084">
      <w:bodyDiv w:val="1"/>
      <w:marLeft w:val="0"/>
      <w:marRight w:val="0"/>
      <w:marTop w:val="0"/>
      <w:marBottom w:val="0"/>
      <w:divBdr>
        <w:top w:val="none" w:sz="0" w:space="0" w:color="auto"/>
        <w:left w:val="none" w:sz="0" w:space="0" w:color="auto"/>
        <w:bottom w:val="none" w:sz="0" w:space="0" w:color="auto"/>
        <w:right w:val="none" w:sz="0" w:space="0" w:color="auto"/>
      </w:divBdr>
    </w:div>
    <w:div w:id="868109513">
      <w:bodyDiv w:val="1"/>
      <w:marLeft w:val="0"/>
      <w:marRight w:val="0"/>
      <w:marTop w:val="0"/>
      <w:marBottom w:val="0"/>
      <w:divBdr>
        <w:top w:val="none" w:sz="0" w:space="0" w:color="auto"/>
        <w:left w:val="none" w:sz="0" w:space="0" w:color="auto"/>
        <w:bottom w:val="none" w:sz="0" w:space="0" w:color="auto"/>
        <w:right w:val="none" w:sz="0" w:space="0" w:color="auto"/>
      </w:divBdr>
      <w:divsChild>
        <w:div w:id="1872721784">
          <w:marLeft w:val="-180"/>
          <w:marRight w:val="-180"/>
          <w:marTop w:val="240"/>
          <w:marBottom w:val="240"/>
          <w:divBdr>
            <w:top w:val="none" w:sz="0" w:space="0" w:color="auto"/>
            <w:left w:val="none" w:sz="0" w:space="0" w:color="auto"/>
            <w:bottom w:val="none" w:sz="0" w:space="0" w:color="auto"/>
            <w:right w:val="none" w:sz="0" w:space="0" w:color="auto"/>
          </w:divBdr>
          <w:divsChild>
            <w:div w:id="1659655774">
              <w:marLeft w:val="0"/>
              <w:marRight w:val="0"/>
              <w:marTop w:val="0"/>
              <w:marBottom w:val="0"/>
              <w:divBdr>
                <w:top w:val="none" w:sz="0" w:space="0" w:color="auto"/>
                <w:left w:val="none" w:sz="0" w:space="0" w:color="auto"/>
                <w:bottom w:val="none" w:sz="0" w:space="0" w:color="auto"/>
                <w:right w:val="none" w:sz="0" w:space="0" w:color="auto"/>
              </w:divBdr>
              <w:divsChild>
                <w:div w:id="1532768769">
                  <w:marLeft w:val="0"/>
                  <w:marRight w:val="0"/>
                  <w:marTop w:val="0"/>
                  <w:marBottom w:val="0"/>
                  <w:divBdr>
                    <w:top w:val="none" w:sz="0" w:space="0" w:color="auto"/>
                    <w:left w:val="none" w:sz="0" w:space="0" w:color="auto"/>
                    <w:bottom w:val="none" w:sz="0" w:space="0" w:color="auto"/>
                    <w:right w:val="none" w:sz="0" w:space="0" w:color="auto"/>
                  </w:divBdr>
                  <w:divsChild>
                    <w:div w:id="9788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20767">
          <w:marLeft w:val="-180"/>
          <w:marRight w:val="-180"/>
          <w:marTop w:val="240"/>
          <w:marBottom w:val="240"/>
          <w:divBdr>
            <w:top w:val="none" w:sz="0" w:space="0" w:color="auto"/>
            <w:left w:val="none" w:sz="0" w:space="0" w:color="auto"/>
            <w:bottom w:val="none" w:sz="0" w:space="0" w:color="auto"/>
            <w:right w:val="none" w:sz="0" w:space="0" w:color="auto"/>
          </w:divBdr>
          <w:divsChild>
            <w:div w:id="650838084">
              <w:marLeft w:val="0"/>
              <w:marRight w:val="0"/>
              <w:marTop w:val="0"/>
              <w:marBottom w:val="0"/>
              <w:divBdr>
                <w:top w:val="none" w:sz="0" w:space="0" w:color="auto"/>
                <w:left w:val="none" w:sz="0" w:space="0" w:color="auto"/>
                <w:bottom w:val="none" w:sz="0" w:space="0" w:color="auto"/>
                <w:right w:val="none" w:sz="0" w:space="0" w:color="auto"/>
              </w:divBdr>
              <w:divsChild>
                <w:div w:id="1690521043">
                  <w:marLeft w:val="0"/>
                  <w:marRight w:val="0"/>
                  <w:marTop w:val="0"/>
                  <w:marBottom w:val="0"/>
                  <w:divBdr>
                    <w:top w:val="none" w:sz="0" w:space="0" w:color="auto"/>
                    <w:left w:val="none" w:sz="0" w:space="0" w:color="auto"/>
                    <w:bottom w:val="none" w:sz="0" w:space="0" w:color="auto"/>
                    <w:right w:val="none" w:sz="0" w:space="0" w:color="auto"/>
                  </w:divBdr>
                  <w:divsChild>
                    <w:div w:id="17985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99618">
              <w:marLeft w:val="0"/>
              <w:marRight w:val="0"/>
              <w:marTop w:val="0"/>
              <w:marBottom w:val="0"/>
              <w:divBdr>
                <w:top w:val="none" w:sz="0" w:space="0" w:color="auto"/>
                <w:left w:val="none" w:sz="0" w:space="0" w:color="auto"/>
                <w:bottom w:val="none" w:sz="0" w:space="0" w:color="auto"/>
                <w:right w:val="none" w:sz="0" w:space="0" w:color="auto"/>
              </w:divBdr>
              <w:divsChild>
                <w:div w:id="1133212928">
                  <w:marLeft w:val="0"/>
                  <w:marRight w:val="0"/>
                  <w:marTop w:val="0"/>
                  <w:marBottom w:val="0"/>
                  <w:divBdr>
                    <w:top w:val="none" w:sz="0" w:space="0" w:color="auto"/>
                    <w:left w:val="none" w:sz="0" w:space="0" w:color="auto"/>
                    <w:bottom w:val="none" w:sz="0" w:space="0" w:color="auto"/>
                    <w:right w:val="none" w:sz="0" w:space="0" w:color="auto"/>
                  </w:divBdr>
                  <w:divsChild>
                    <w:div w:id="9278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4365">
          <w:marLeft w:val="-180"/>
          <w:marRight w:val="-180"/>
          <w:marTop w:val="240"/>
          <w:marBottom w:val="240"/>
          <w:divBdr>
            <w:top w:val="none" w:sz="0" w:space="0" w:color="auto"/>
            <w:left w:val="none" w:sz="0" w:space="0" w:color="auto"/>
            <w:bottom w:val="none" w:sz="0" w:space="0" w:color="auto"/>
            <w:right w:val="none" w:sz="0" w:space="0" w:color="auto"/>
          </w:divBdr>
          <w:divsChild>
            <w:div w:id="1632706509">
              <w:marLeft w:val="0"/>
              <w:marRight w:val="0"/>
              <w:marTop w:val="0"/>
              <w:marBottom w:val="0"/>
              <w:divBdr>
                <w:top w:val="none" w:sz="0" w:space="0" w:color="auto"/>
                <w:left w:val="none" w:sz="0" w:space="0" w:color="auto"/>
                <w:bottom w:val="none" w:sz="0" w:space="0" w:color="auto"/>
                <w:right w:val="none" w:sz="0" w:space="0" w:color="auto"/>
              </w:divBdr>
              <w:divsChild>
                <w:div w:id="879711247">
                  <w:marLeft w:val="0"/>
                  <w:marRight w:val="0"/>
                  <w:marTop w:val="0"/>
                  <w:marBottom w:val="0"/>
                  <w:divBdr>
                    <w:top w:val="none" w:sz="0" w:space="0" w:color="auto"/>
                    <w:left w:val="none" w:sz="0" w:space="0" w:color="auto"/>
                    <w:bottom w:val="none" w:sz="0" w:space="0" w:color="auto"/>
                    <w:right w:val="none" w:sz="0" w:space="0" w:color="auto"/>
                  </w:divBdr>
                  <w:divsChild>
                    <w:div w:id="2681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69943">
              <w:marLeft w:val="0"/>
              <w:marRight w:val="0"/>
              <w:marTop w:val="0"/>
              <w:marBottom w:val="0"/>
              <w:divBdr>
                <w:top w:val="none" w:sz="0" w:space="0" w:color="auto"/>
                <w:left w:val="none" w:sz="0" w:space="0" w:color="auto"/>
                <w:bottom w:val="none" w:sz="0" w:space="0" w:color="auto"/>
                <w:right w:val="none" w:sz="0" w:space="0" w:color="auto"/>
              </w:divBdr>
              <w:divsChild>
                <w:div w:id="1626542562">
                  <w:marLeft w:val="0"/>
                  <w:marRight w:val="0"/>
                  <w:marTop w:val="0"/>
                  <w:marBottom w:val="0"/>
                  <w:divBdr>
                    <w:top w:val="none" w:sz="0" w:space="0" w:color="auto"/>
                    <w:left w:val="none" w:sz="0" w:space="0" w:color="auto"/>
                    <w:bottom w:val="none" w:sz="0" w:space="0" w:color="auto"/>
                    <w:right w:val="none" w:sz="0" w:space="0" w:color="auto"/>
                  </w:divBdr>
                  <w:divsChild>
                    <w:div w:id="214627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4284">
          <w:marLeft w:val="-180"/>
          <w:marRight w:val="-180"/>
          <w:marTop w:val="240"/>
          <w:marBottom w:val="240"/>
          <w:divBdr>
            <w:top w:val="none" w:sz="0" w:space="0" w:color="auto"/>
            <w:left w:val="none" w:sz="0" w:space="0" w:color="auto"/>
            <w:bottom w:val="none" w:sz="0" w:space="0" w:color="auto"/>
            <w:right w:val="none" w:sz="0" w:space="0" w:color="auto"/>
          </w:divBdr>
          <w:divsChild>
            <w:div w:id="333997926">
              <w:marLeft w:val="0"/>
              <w:marRight w:val="0"/>
              <w:marTop w:val="0"/>
              <w:marBottom w:val="0"/>
              <w:divBdr>
                <w:top w:val="none" w:sz="0" w:space="0" w:color="auto"/>
                <w:left w:val="none" w:sz="0" w:space="0" w:color="auto"/>
                <w:bottom w:val="none" w:sz="0" w:space="0" w:color="auto"/>
                <w:right w:val="none" w:sz="0" w:space="0" w:color="auto"/>
              </w:divBdr>
              <w:divsChild>
                <w:div w:id="1547907433">
                  <w:marLeft w:val="0"/>
                  <w:marRight w:val="0"/>
                  <w:marTop w:val="0"/>
                  <w:marBottom w:val="0"/>
                  <w:divBdr>
                    <w:top w:val="none" w:sz="0" w:space="0" w:color="auto"/>
                    <w:left w:val="none" w:sz="0" w:space="0" w:color="auto"/>
                    <w:bottom w:val="none" w:sz="0" w:space="0" w:color="auto"/>
                    <w:right w:val="none" w:sz="0" w:space="0" w:color="auto"/>
                  </w:divBdr>
                  <w:divsChild>
                    <w:div w:id="642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2792">
              <w:marLeft w:val="0"/>
              <w:marRight w:val="0"/>
              <w:marTop w:val="0"/>
              <w:marBottom w:val="0"/>
              <w:divBdr>
                <w:top w:val="none" w:sz="0" w:space="0" w:color="auto"/>
                <w:left w:val="none" w:sz="0" w:space="0" w:color="auto"/>
                <w:bottom w:val="none" w:sz="0" w:space="0" w:color="auto"/>
                <w:right w:val="none" w:sz="0" w:space="0" w:color="auto"/>
              </w:divBdr>
              <w:divsChild>
                <w:div w:id="126703945">
                  <w:marLeft w:val="0"/>
                  <w:marRight w:val="0"/>
                  <w:marTop w:val="0"/>
                  <w:marBottom w:val="0"/>
                  <w:divBdr>
                    <w:top w:val="none" w:sz="0" w:space="0" w:color="auto"/>
                    <w:left w:val="none" w:sz="0" w:space="0" w:color="auto"/>
                    <w:bottom w:val="none" w:sz="0" w:space="0" w:color="auto"/>
                    <w:right w:val="none" w:sz="0" w:space="0" w:color="auto"/>
                  </w:divBdr>
                  <w:divsChild>
                    <w:div w:id="17458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91909">
          <w:marLeft w:val="-180"/>
          <w:marRight w:val="-180"/>
          <w:marTop w:val="240"/>
          <w:marBottom w:val="240"/>
          <w:divBdr>
            <w:top w:val="none" w:sz="0" w:space="0" w:color="auto"/>
            <w:left w:val="none" w:sz="0" w:space="0" w:color="auto"/>
            <w:bottom w:val="none" w:sz="0" w:space="0" w:color="auto"/>
            <w:right w:val="none" w:sz="0" w:space="0" w:color="auto"/>
          </w:divBdr>
          <w:divsChild>
            <w:div w:id="1398285139">
              <w:marLeft w:val="0"/>
              <w:marRight w:val="0"/>
              <w:marTop w:val="0"/>
              <w:marBottom w:val="0"/>
              <w:divBdr>
                <w:top w:val="none" w:sz="0" w:space="0" w:color="auto"/>
                <w:left w:val="none" w:sz="0" w:space="0" w:color="auto"/>
                <w:bottom w:val="none" w:sz="0" w:space="0" w:color="auto"/>
                <w:right w:val="none" w:sz="0" w:space="0" w:color="auto"/>
              </w:divBdr>
              <w:divsChild>
                <w:div w:id="1066682572">
                  <w:marLeft w:val="0"/>
                  <w:marRight w:val="0"/>
                  <w:marTop w:val="0"/>
                  <w:marBottom w:val="0"/>
                  <w:divBdr>
                    <w:top w:val="none" w:sz="0" w:space="0" w:color="auto"/>
                    <w:left w:val="none" w:sz="0" w:space="0" w:color="auto"/>
                    <w:bottom w:val="none" w:sz="0" w:space="0" w:color="auto"/>
                    <w:right w:val="none" w:sz="0" w:space="0" w:color="auto"/>
                  </w:divBdr>
                  <w:divsChild>
                    <w:div w:id="143998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95150">
              <w:marLeft w:val="0"/>
              <w:marRight w:val="0"/>
              <w:marTop w:val="0"/>
              <w:marBottom w:val="0"/>
              <w:divBdr>
                <w:top w:val="none" w:sz="0" w:space="0" w:color="auto"/>
                <w:left w:val="none" w:sz="0" w:space="0" w:color="auto"/>
                <w:bottom w:val="none" w:sz="0" w:space="0" w:color="auto"/>
                <w:right w:val="none" w:sz="0" w:space="0" w:color="auto"/>
              </w:divBdr>
              <w:divsChild>
                <w:div w:id="251159927">
                  <w:marLeft w:val="0"/>
                  <w:marRight w:val="0"/>
                  <w:marTop w:val="0"/>
                  <w:marBottom w:val="0"/>
                  <w:divBdr>
                    <w:top w:val="none" w:sz="0" w:space="0" w:color="auto"/>
                    <w:left w:val="none" w:sz="0" w:space="0" w:color="auto"/>
                    <w:bottom w:val="none" w:sz="0" w:space="0" w:color="auto"/>
                    <w:right w:val="none" w:sz="0" w:space="0" w:color="auto"/>
                  </w:divBdr>
                  <w:divsChild>
                    <w:div w:id="6971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72786">
          <w:marLeft w:val="-180"/>
          <w:marRight w:val="-180"/>
          <w:marTop w:val="240"/>
          <w:marBottom w:val="240"/>
          <w:divBdr>
            <w:top w:val="none" w:sz="0" w:space="0" w:color="auto"/>
            <w:left w:val="none" w:sz="0" w:space="0" w:color="auto"/>
            <w:bottom w:val="none" w:sz="0" w:space="0" w:color="auto"/>
            <w:right w:val="none" w:sz="0" w:space="0" w:color="auto"/>
          </w:divBdr>
          <w:divsChild>
            <w:div w:id="694231306">
              <w:marLeft w:val="0"/>
              <w:marRight w:val="0"/>
              <w:marTop w:val="0"/>
              <w:marBottom w:val="0"/>
              <w:divBdr>
                <w:top w:val="none" w:sz="0" w:space="0" w:color="auto"/>
                <w:left w:val="none" w:sz="0" w:space="0" w:color="auto"/>
                <w:bottom w:val="none" w:sz="0" w:space="0" w:color="auto"/>
                <w:right w:val="none" w:sz="0" w:space="0" w:color="auto"/>
              </w:divBdr>
              <w:divsChild>
                <w:div w:id="921525452">
                  <w:marLeft w:val="0"/>
                  <w:marRight w:val="0"/>
                  <w:marTop w:val="0"/>
                  <w:marBottom w:val="0"/>
                  <w:divBdr>
                    <w:top w:val="none" w:sz="0" w:space="0" w:color="auto"/>
                    <w:left w:val="none" w:sz="0" w:space="0" w:color="auto"/>
                    <w:bottom w:val="none" w:sz="0" w:space="0" w:color="auto"/>
                    <w:right w:val="none" w:sz="0" w:space="0" w:color="auto"/>
                  </w:divBdr>
                  <w:divsChild>
                    <w:div w:id="10629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55311">
              <w:marLeft w:val="0"/>
              <w:marRight w:val="0"/>
              <w:marTop w:val="0"/>
              <w:marBottom w:val="0"/>
              <w:divBdr>
                <w:top w:val="none" w:sz="0" w:space="0" w:color="auto"/>
                <w:left w:val="none" w:sz="0" w:space="0" w:color="auto"/>
                <w:bottom w:val="none" w:sz="0" w:space="0" w:color="auto"/>
                <w:right w:val="none" w:sz="0" w:space="0" w:color="auto"/>
              </w:divBdr>
              <w:divsChild>
                <w:div w:id="2140225187">
                  <w:marLeft w:val="0"/>
                  <w:marRight w:val="0"/>
                  <w:marTop w:val="0"/>
                  <w:marBottom w:val="0"/>
                  <w:divBdr>
                    <w:top w:val="none" w:sz="0" w:space="0" w:color="auto"/>
                    <w:left w:val="none" w:sz="0" w:space="0" w:color="auto"/>
                    <w:bottom w:val="none" w:sz="0" w:space="0" w:color="auto"/>
                    <w:right w:val="none" w:sz="0" w:space="0" w:color="auto"/>
                  </w:divBdr>
                  <w:divsChild>
                    <w:div w:id="1314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2359">
          <w:marLeft w:val="-180"/>
          <w:marRight w:val="-180"/>
          <w:marTop w:val="240"/>
          <w:marBottom w:val="240"/>
          <w:divBdr>
            <w:top w:val="none" w:sz="0" w:space="0" w:color="auto"/>
            <w:left w:val="none" w:sz="0" w:space="0" w:color="auto"/>
            <w:bottom w:val="none" w:sz="0" w:space="0" w:color="auto"/>
            <w:right w:val="none" w:sz="0" w:space="0" w:color="auto"/>
          </w:divBdr>
          <w:divsChild>
            <w:div w:id="404766785">
              <w:marLeft w:val="0"/>
              <w:marRight w:val="0"/>
              <w:marTop w:val="0"/>
              <w:marBottom w:val="0"/>
              <w:divBdr>
                <w:top w:val="none" w:sz="0" w:space="0" w:color="auto"/>
                <w:left w:val="none" w:sz="0" w:space="0" w:color="auto"/>
                <w:bottom w:val="none" w:sz="0" w:space="0" w:color="auto"/>
                <w:right w:val="none" w:sz="0" w:space="0" w:color="auto"/>
              </w:divBdr>
              <w:divsChild>
                <w:div w:id="369961267">
                  <w:marLeft w:val="0"/>
                  <w:marRight w:val="0"/>
                  <w:marTop w:val="0"/>
                  <w:marBottom w:val="0"/>
                  <w:divBdr>
                    <w:top w:val="none" w:sz="0" w:space="0" w:color="auto"/>
                    <w:left w:val="none" w:sz="0" w:space="0" w:color="auto"/>
                    <w:bottom w:val="none" w:sz="0" w:space="0" w:color="auto"/>
                    <w:right w:val="none" w:sz="0" w:space="0" w:color="auto"/>
                  </w:divBdr>
                  <w:divsChild>
                    <w:div w:id="18485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3880">
              <w:marLeft w:val="0"/>
              <w:marRight w:val="0"/>
              <w:marTop w:val="0"/>
              <w:marBottom w:val="0"/>
              <w:divBdr>
                <w:top w:val="none" w:sz="0" w:space="0" w:color="auto"/>
                <w:left w:val="none" w:sz="0" w:space="0" w:color="auto"/>
                <w:bottom w:val="none" w:sz="0" w:space="0" w:color="auto"/>
                <w:right w:val="none" w:sz="0" w:space="0" w:color="auto"/>
              </w:divBdr>
              <w:divsChild>
                <w:div w:id="1616516532">
                  <w:marLeft w:val="0"/>
                  <w:marRight w:val="0"/>
                  <w:marTop w:val="0"/>
                  <w:marBottom w:val="0"/>
                  <w:divBdr>
                    <w:top w:val="none" w:sz="0" w:space="0" w:color="auto"/>
                    <w:left w:val="none" w:sz="0" w:space="0" w:color="auto"/>
                    <w:bottom w:val="none" w:sz="0" w:space="0" w:color="auto"/>
                    <w:right w:val="none" w:sz="0" w:space="0" w:color="auto"/>
                  </w:divBdr>
                  <w:divsChild>
                    <w:div w:id="6230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9038">
          <w:marLeft w:val="-180"/>
          <w:marRight w:val="-180"/>
          <w:marTop w:val="240"/>
          <w:marBottom w:val="0"/>
          <w:divBdr>
            <w:top w:val="none" w:sz="0" w:space="0" w:color="auto"/>
            <w:left w:val="none" w:sz="0" w:space="0" w:color="auto"/>
            <w:bottom w:val="none" w:sz="0" w:space="0" w:color="auto"/>
            <w:right w:val="none" w:sz="0" w:space="0" w:color="auto"/>
          </w:divBdr>
          <w:divsChild>
            <w:div w:id="91781630">
              <w:marLeft w:val="0"/>
              <w:marRight w:val="0"/>
              <w:marTop w:val="0"/>
              <w:marBottom w:val="0"/>
              <w:divBdr>
                <w:top w:val="none" w:sz="0" w:space="0" w:color="auto"/>
                <w:left w:val="none" w:sz="0" w:space="0" w:color="auto"/>
                <w:bottom w:val="none" w:sz="0" w:space="0" w:color="auto"/>
                <w:right w:val="none" w:sz="0" w:space="0" w:color="auto"/>
              </w:divBdr>
              <w:divsChild>
                <w:div w:id="251352854">
                  <w:marLeft w:val="0"/>
                  <w:marRight w:val="0"/>
                  <w:marTop w:val="0"/>
                  <w:marBottom w:val="0"/>
                  <w:divBdr>
                    <w:top w:val="none" w:sz="0" w:space="0" w:color="auto"/>
                    <w:left w:val="none" w:sz="0" w:space="0" w:color="auto"/>
                    <w:bottom w:val="none" w:sz="0" w:space="0" w:color="auto"/>
                    <w:right w:val="none" w:sz="0" w:space="0" w:color="auto"/>
                  </w:divBdr>
                  <w:divsChild>
                    <w:div w:id="19786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80703">
              <w:marLeft w:val="0"/>
              <w:marRight w:val="0"/>
              <w:marTop w:val="0"/>
              <w:marBottom w:val="0"/>
              <w:divBdr>
                <w:top w:val="none" w:sz="0" w:space="0" w:color="auto"/>
                <w:left w:val="none" w:sz="0" w:space="0" w:color="auto"/>
                <w:bottom w:val="none" w:sz="0" w:space="0" w:color="auto"/>
                <w:right w:val="none" w:sz="0" w:space="0" w:color="auto"/>
              </w:divBdr>
              <w:divsChild>
                <w:div w:id="1759137698">
                  <w:marLeft w:val="0"/>
                  <w:marRight w:val="0"/>
                  <w:marTop w:val="0"/>
                  <w:marBottom w:val="0"/>
                  <w:divBdr>
                    <w:top w:val="none" w:sz="0" w:space="0" w:color="auto"/>
                    <w:left w:val="none" w:sz="0" w:space="0" w:color="auto"/>
                    <w:bottom w:val="none" w:sz="0" w:space="0" w:color="auto"/>
                    <w:right w:val="none" w:sz="0" w:space="0" w:color="auto"/>
                  </w:divBdr>
                  <w:divsChild>
                    <w:div w:id="7607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70750">
      <w:bodyDiv w:val="1"/>
      <w:marLeft w:val="0"/>
      <w:marRight w:val="0"/>
      <w:marTop w:val="0"/>
      <w:marBottom w:val="0"/>
      <w:divBdr>
        <w:top w:val="none" w:sz="0" w:space="0" w:color="auto"/>
        <w:left w:val="none" w:sz="0" w:space="0" w:color="auto"/>
        <w:bottom w:val="none" w:sz="0" w:space="0" w:color="auto"/>
        <w:right w:val="none" w:sz="0" w:space="0" w:color="auto"/>
      </w:divBdr>
    </w:div>
    <w:div w:id="1002969999">
      <w:bodyDiv w:val="1"/>
      <w:marLeft w:val="0"/>
      <w:marRight w:val="0"/>
      <w:marTop w:val="0"/>
      <w:marBottom w:val="0"/>
      <w:divBdr>
        <w:top w:val="none" w:sz="0" w:space="0" w:color="auto"/>
        <w:left w:val="none" w:sz="0" w:space="0" w:color="auto"/>
        <w:bottom w:val="none" w:sz="0" w:space="0" w:color="auto"/>
        <w:right w:val="none" w:sz="0" w:space="0" w:color="auto"/>
      </w:divBdr>
    </w:div>
    <w:div w:id="1290477863">
      <w:bodyDiv w:val="1"/>
      <w:marLeft w:val="0"/>
      <w:marRight w:val="0"/>
      <w:marTop w:val="0"/>
      <w:marBottom w:val="0"/>
      <w:divBdr>
        <w:top w:val="none" w:sz="0" w:space="0" w:color="auto"/>
        <w:left w:val="none" w:sz="0" w:space="0" w:color="auto"/>
        <w:bottom w:val="none" w:sz="0" w:space="0" w:color="auto"/>
        <w:right w:val="none" w:sz="0" w:space="0" w:color="auto"/>
      </w:divBdr>
    </w:div>
    <w:div w:id="1568033489">
      <w:bodyDiv w:val="1"/>
      <w:marLeft w:val="0"/>
      <w:marRight w:val="0"/>
      <w:marTop w:val="0"/>
      <w:marBottom w:val="0"/>
      <w:divBdr>
        <w:top w:val="none" w:sz="0" w:space="0" w:color="auto"/>
        <w:left w:val="none" w:sz="0" w:space="0" w:color="auto"/>
        <w:bottom w:val="none" w:sz="0" w:space="0" w:color="auto"/>
        <w:right w:val="none" w:sz="0" w:space="0" w:color="auto"/>
      </w:divBdr>
    </w:div>
    <w:div w:id="1600408454">
      <w:bodyDiv w:val="1"/>
      <w:marLeft w:val="0"/>
      <w:marRight w:val="0"/>
      <w:marTop w:val="0"/>
      <w:marBottom w:val="0"/>
      <w:divBdr>
        <w:top w:val="none" w:sz="0" w:space="0" w:color="auto"/>
        <w:left w:val="none" w:sz="0" w:space="0" w:color="auto"/>
        <w:bottom w:val="none" w:sz="0" w:space="0" w:color="auto"/>
        <w:right w:val="none" w:sz="0" w:space="0" w:color="auto"/>
      </w:divBdr>
    </w:div>
    <w:div w:id="1862081960">
      <w:bodyDiv w:val="1"/>
      <w:marLeft w:val="0"/>
      <w:marRight w:val="0"/>
      <w:marTop w:val="0"/>
      <w:marBottom w:val="0"/>
      <w:divBdr>
        <w:top w:val="none" w:sz="0" w:space="0" w:color="auto"/>
        <w:left w:val="none" w:sz="0" w:space="0" w:color="auto"/>
        <w:bottom w:val="none" w:sz="0" w:space="0" w:color="auto"/>
        <w:right w:val="none" w:sz="0" w:space="0" w:color="auto"/>
      </w:divBdr>
    </w:div>
    <w:div w:id="20657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tiktok.com/@pyrrhicpress.org" TargetMode="External"/><Relationship Id="rId26" Type="http://schemas.openxmlformats.org/officeDocument/2006/relationships/hyperlink" Target="https://papers.ssrn.com/sol3/cf_dev/AbsByAuth.cfm?per_id=6568487" TargetMode="External"/><Relationship Id="rId39" Type="http://schemas.openxmlformats.org/officeDocument/2006/relationships/theme" Target="theme/theme1.xml"/><Relationship Id="rId21" Type="http://schemas.openxmlformats.org/officeDocument/2006/relationships/hyperlink" Target="https://zenodo.org/communities/bizpro/records?q=&amp;l=list&amp;p=1&amp;s=10&amp;sort=newest" TargetMode="External"/><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hyperlink" Target="mailto:editor@pyrrhicpress.org" TargetMode="External"/><Relationship Id="rId17" Type="http://schemas.openxmlformats.org/officeDocument/2006/relationships/hyperlink" Target="http://www.linkedin.com/in/nicholasjpirro" TargetMode="External"/><Relationship Id="rId25" Type="http://schemas.openxmlformats.org/officeDocument/2006/relationships/image" Target="media/image9.png"/><Relationship Id="rId33" Type="http://schemas.openxmlformats.org/officeDocument/2006/relationships/hyperlink" Target="mailto:Editor@Pyrrhicpress.org"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pyrrhicpress.org" TargetMode="External"/><Relationship Id="rId20" Type="http://schemas.openxmlformats.org/officeDocument/2006/relationships/image" Target="media/image7.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yrrhicpress.org/lappse-memorial-fund" TargetMode="External"/><Relationship Id="rId24" Type="http://schemas.openxmlformats.org/officeDocument/2006/relationships/hyperlink" Target="https://orcid.org/0009-0003-0818-5054" TargetMode="External"/><Relationship Id="rId32" Type="http://schemas.openxmlformats.org/officeDocument/2006/relationships/hyperlink" Target="https://www.researchgate.net/profile/Nicholas_Pirr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8.png"/><Relationship Id="rId28" Type="http://schemas.openxmlformats.org/officeDocument/2006/relationships/hyperlink" Target="https://fairsharing.org/users/10991"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twitter.com/PyrrhicPress" TargetMode="Externa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hyperlink" Target="https://orcid.org/0009-0003-0818-5054" TargetMode="External"/><Relationship Id="rId27" Type="http://schemas.openxmlformats.org/officeDocument/2006/relationships/image" Target="media/image10.jpeg"/><Relationship Id="rId30" Type="http://schemas.openxmlformats.org/officeDocument/2006/relationships/hyperlink" Target="https://github.com/PyrrhicPress/PyrrhicPress"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5027383EBD4B4EB9DF67EECBFB0058"/>
        <w:category>
          <w:name w:val="General"/>
          <w:gallery w:val="placeholder"/>
        </w:category>
        <w:types>
          <w:type w:val="bbPlcHdr"/>
        </w:types>
        <w:behaviors>
          <w:behavior w:val="content"/>
        </w:behaviors>
        <w:guid w:val="{BFC11CDB-B588-4B68-830E-BD68EA0C21C9}"/>
      </w:docPartPr>
      <w:docPartBody>
        <w:p w:rsidR="002D3899" w:rsidRDefault="000D2AB4" w:rsidP="000D2AB4">
          <w:pPr>
            <w:pStyle w:val="685027383EBD4B4EB9DF67EECBFB0058"/>
          </w:pPr>
          <w:r w:rsidRPr="00BA6AD0">
            <w:t>THE NEWS TODAY</w:t>
          </w:r>
        </w:p>
      </w:docPartBody>
    </w:docPart>
    <w:docPart>
      <w:docPartPr>
        <w:name w:val="1C39D2FF667747AD80D6C7053CF475F2"/>
        <w:category>
          <w:name w:val="General"/>
          <w:gallery w:val="placeholder"/>
        </w:category>
        <w:types>
          <w:type w:val="bbPlcHdr"/>
        </w:types>
        <w:behaviors>
          <w:behavior w:val="content"/>
        </w:behaviors>
        <w:guid w:val="{09207D86-9BB2-4A5D-9F3B-01CCD681F00B}"/>
      </w:docPartPr>
      <w:docPartBody>
        <w:p w:rsidR="002D3899" w:rsidRDefault="000D2AB4" w:rsidP="000D2AB4">
          <w:pPr>
            <w:pStyle w:val="1C39D2FF667747AD80D6C7053CF475F2"/>
          </w:pPr>
          <w:r w:rsidRPr="00BA6AD0">
            <w:t>Tuesday</w:t>
          </w:r>
        </w:p>
      </w:docPartBody>
    </w:docPart>
    <w:docPart>
      <w:docPartPr>
        <w:name w:val="D15AF6C6A5554923B5416A1B7C73295E"/>
        <w:category>
          <w:name w:val="General"/>
          <w:gallery w:val="placeholder"/>
        </w:category>
        <w:types>
          <w:type w:val="bbPlcHdr"/>
        </w:types>
        <w:behaviors>
          <w:behavior w:val="content"/>
        </w:behaviors>
        <w:guid w:val="{C213548A-BEBB-4A06-A6D2-0BBD80760AC6}"/>
      </w:docPartPr>
      <w:docPartBody>
        <w:p w:rsidR="002D3899" w:rsidRDefault="000D2AB4" w:rsidP="000D2AB4">
          <w:pPr>
            <w:pStyle w:val="D15AF6C6A5554923B5416A1B7C73295E"/>
          </w:pPr>
          <w:r w:rsidRPr="00BA6AD0">
            <w:t>September 24, YYYY</w:t>
          </w:r>
        </w:p>
      </w:docPartBody>
    </w:docPart>
    <w:docPart>
      <w:docPartPr>
        <w:name w:val="132F519C2AB2449B9A099D801C639D33"/>
        <w:category>
          <w:name w:val="General"/>
          <w:gallery w:val="placeholder"/>
        </w:category>
        <w:types>
          <w:type w:val="bbPlcHdr"/>
        </w:types>
        <w:behaviors>
          <w:behavior w:val="content"/>
        </w:behaviors>
        <w:guid w:val="{7908546A-4491-4E6E-B2A5-AB4CBD9C0CA6}"/>
      </w:docPartPr>
      <w:docPartBody>
        <w:p w:rsidR="002D3899" w:rsidRDefault="000D2AB4" w:rsidP="000D2AB4">
          <w:pPr>
            <w:pStyle w:val="132F519C2AB2449B9A099D801C639D33"/>
          </w:pPr>
          <w:r w:rsidRPr="00BA6AD0">
            <w:t>Issue #10</w:t>
          </w:r>
        </w:p>
      </w:docPartBody>
    </w:docPart>
    <w:docPart>
      <w:docPartPr>
        <w:name w:val="9BDD93DC71A64180BD8CD9558453712A"/>
        <w:category>
          <w:name w:val="General"/>
          <w:gallery w:val="placeholder"/>
        </w:category>
        <w:types>
          <w:type w:val="bbPlcHdr"/>
        </w:types>
        <w:behaviors>
          <w:behavior w:val="content"/>
        </w:behaviors>
        <w:guid w:val="{B63032D7-9E40-46C0-817E-9917B6656FCB}"/>
      </w:docPartPr>
      <w:docPartBody>
        <w:p w:rsidR="002D3899" w:rsidRDefault="000D2AB4" w:rsidP="000D2AB4">
          <w:pPr>
            <w:pStyle w:val="9BDD93DC71A64180BD8CD9558453712A"/>
          </w:pPr>
          <w:r w:rsidRPr="00004C2C">
            <w:t>The latest news story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Black">
    <w:charset w:val="00"/>
    <w:family w:val="swiss"/>
    <w:pitch w:val="variable"/>
    <w:sig w:usb0="600002F7" w:usb1="02000001"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B4"/>
    <w:rsid w:val="00075FA0"/>
    <w:rsid w:val="000D2AB4"/>
    <w:rsid w:val="001C22AF"/>
    <w:rsid w:val="002D3899"/>
    <w:rsid w:val="004B65BC"/>
    <w:rsid w:val="005B794C"/>
    <w:rsid w:val="005C6D28"/>
    <w:rsid w:val="008177B3"/>
    <w:rsid w:val="008B1A6A"/>
    <w:rsid w:val="00945F1C"/>
    <w:rsid w:val="00BF4A2A"/>
    <w:rsid w:val="00C82827"/>
    <w:rsid w:val="00F04700"/>
    <w:rsid w:val="00FE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5027383EBD4B4EB9DF67EECBFB0058">
    <w:name w:val="685027383EBD4B4EB9DF67EECBFB0058"/>
    <w:rsid w:val="000D2AB4"/>
  </w:style>
  <w:style w:type="paragraph" w:customStyle="1" w:styleId="1C39D2FF667747AD80D6C7053CF475F2">
    <w:name w:val="1C39D2FF667747AD80D6C7053CF475F2"/>
    <w:rsid w:val="000D2AB4"/>
  </w:style>
  <w:style w:type="paragraph" w:customStyle="1" w:styleId="D15AF6C6A5554923B5416A1B7C73295E">
    <w:name w:val="D15AF6C6A5554923B5416A1B7C73295E"/>
    <w:rsid w:val="000D2AB4"/>
  </w:style>
  <w:style w:type="paragraph" w:customStyle="1" w:styleId="132F519C2AB2449B9A099D801C639D33">
    <w:name w:val="132F519C2AB2449B9A099D801C639D33"/>
    <w:rsid w:val="000D2AB4"/>
  </w:style>
  <w:style w:type="paragraph" w:customStyle="1" w:styleId="9BDD93DC71A64180BD8CD9558453712A">
    <w:name w:val="9BDD93DC71A64180BD8CD9558453712A"/>
    <w:rsid w:val="000D2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00F8F-758C-443B-9292-F15C71EB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92</Pages>
  <Words>36130</Words>
  <Characters>205943</Characters>
  <Application>Microsoft Office Word</Application>
  <DocSecurity>0</DocSecurity>
  <Lines>1716</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Pirro</dc:creator>
  <cp:keywords/>
  <dc:description/>
  <cp:lastModifiedBy>Nicholas Pirro</cp:lastModifiedBy>
  <cp:revision>2</cp:revision>
  <dcterms:created xsi:type="dcterms:W3CDTF">2024-06-04T01:20:00Z</dcterms:created>
  <dcterms:modified xsi:type="dcterms:W3CDTF">2024-06-04T01:20:00Z</dcterms:modified>
</cp:coreProperties>
</file>